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Dr. Howard Sesso, ScD, MPH</w:t>
      </w:r>
    </w:p>
    <w:p>
      <w:r>
        <w:rPr>
          <w:b w:val="0"/>
          <w:i w:val="0"/>
        </w:rPr>
        <w:t>Editor-in-Chief, Contemporary Clinical Trials</w:t>
      </w:r>
    </w:p>
    <w:p>
      <w:r>
        <w:rPr>
          <w:b w:val="0"/>
          <w:i w:val="0"/>
        </w:rPr>
        <w:t>Harvard Medical School, Brigham and Women's Hospital</w:t>
      </w:r>
    </w:p>
    <w:p>
      <w:r>
        <w:rPr>
          <w:b w:val="0"/>
          <w:i w:val="0"/>
        </w:rPr>
        <w:t>Boston, Massachusetts, United States of America</w:t>
      </w:r>
    </w:p>
    <w:p>
      <w:r>
        <w:rPr>
          <w:b w:val="0"/>
          <w:i w:val="0"/>
        </w:rPr>
      </w:r>
    </w:p>
    <w:p>
      <w:r>
        <w:rPr>
          <w:b w:val="0"/>
          <w:i w:val="0"/>
        </w:rPr>
        <w:t>Dear Dr. Sesso,</w:t>
      </w:r>
    </w:p>
    <w:p>
      <w:r>
        <w:rPr>
          <w:b w:val="0"/>
          <w:i w:val="0"/>
        </w:rPr>
      </w:r>
    </w:p>
    <w:p>
      <w:r>
        <w:rPr>
          <w:b w:val="0"/>
          <w:i w:val="0"/>
        </w:rPr>
        <w:t>We are pleased to submit our manuscript, "The KOTHA Framework: diagnosing structural information loss in randomized controlled trial meta-analyses to inform trial design", for consideration for publication in *Contemporary Clinical Trials* as an Original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(12 trials, 1984-1995) and statins in heart failure (5 observational studies, 2 RCTs).</w:t>
      </w:r>
    </w:p>
    <w:p>
      <w:r>
        <w:rPr>
          <w:b w:val="0"/>
          <w:i w:val="0"/>
        </w:rPr>
      </w:r>
    </w:p>
    <w:p>
      <w:r>
        <w:rPr>
          <w:b/>
          <w:i w:val="0"/>
        </w:rPr>
        <w:t>Relevance to Contemporary Clinical Trials</w:t>
      </w:r>
    </w:p>
    <w:p>
      <w:r>
        <w:rPr>
          <w:b w:val="0"/>
          <w:i w:val="0"/>
        </w:rPr>
        <w:t>We believe this work is well suited to the readership of *Contemporary Clinical Trials* for the following reasons. First, Module K enables trialists to simulate how enrollment-driven risk-profile shifts affect statistical power under counterfactual designs, informing decisions about prognostic enrichment, event-driven enrollment, adaptive sample-size re-estimation, and broad-eligibility pragmatic strategies. Second, the empirical applications demonstrate that the same therapeutic question can appear conclusive in observational data and inconclusive in RCTs not because the treatments differ, but because enrolled cohorts have systematically lower event rates. This reframes a class of apparently negative RCT meta-analyses as design information problems rather than true null effects. Third, the framework bridges quantitative design diagnostics and structured evidence interpretation, helping readers distinguish "evidence of no effect" from "no evidence of effect" when planning, reporting, and interpreting clinical trials.</w:t>
      </w:r>
    </w:p>
    <w:p>
      <w:r>
        <w:rPr>
          <w:b w:val="0"/>
          <w:i w:val="0"/>
        </w:rPr>
      </w:r>
    </w:p>
    <w:p>
      <w:r>
        <w:rPr>
          <w:b/>
          <w:i w:val="0"/>
        </w:rPr>
        <w:t>Significance</w:t>
      </w:r>
    </w:p>
    <w:p>
      <w:r>
        <w:rPr>
          <w:b w:val="0"/>
          <w:i w:val="0"/>
        </w:rPr>
        <w:t>By linking enrollment representativeness, event-rate dilution, statistical power, and evidence interpretation in a single reproducible pipeline, KOTHA offers a practical tool for improving trial design and post-hoc diagnostic appraisal. All analyses are generated from publicly available aggregate data using documented Python code, supporting transparency and reproducibility. We hope that this contribution will be of interest to the journal's audience of clinical trial methodologists, biostatisticians, and trial designers.</w:t>
      </w:r>
    </w:p>
    <w:p>
      <w:r>
        <w:rPr>
          <w:b w:val="0"/>
          <w:i w:val="0"/>
        </w:rPr>
      </w:r>
    </w:p>
    <w:p>
      <w:r>
        <w:rPr>
          <w:b w:val="0"/>
          <w:i w:val="0"/>
        </w:rPr>
        <w:t>This manuscript is original, has not been published previously, and is not under consideration elsewhere. All authors have approved the manuscript and agree with its submission to *Contemporary Clinical Trials*.</w:t>
      </w:r>
    </w:p>
    <w:p>
      <w:r>
        <w:rPr>
          <w:b w:val="0"/>
          <w:i w:val="0"/>
        </w:rPr>
      </w:r>
    </w:p>
    <w:p>
      <w:r>
        <w:rPr>
          <w:b/>
          <w:i w:val="0"/>
        </w:rPr>
        <w:t>Declarations</w:t>
      </w:r>
    </w:p>
    <w:p>
      <w:r>
        <w:rPr>
          <w:b w:val="0"/>
          <w:i w:val="0"/>
        </w:rPr>
        <w:t>Funding: [To be determined]</w:t>
      </w:r>
    </w:p>
    <w:p>
      <w:r>
        <w:rPr>
          <w:b w:val="0"/>
          <w:i w:val="0"/>
        </w:rPr>
        <w:t>Competing interests: The authors declare no competing interests.</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