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Editors of Technology in Society,</w:t>
      </w:r>
    </w:p>
    <w:p>
      <w:r>
        <w:t>We submit the manuscript "AI researchers as the next coal: transition rates, minimum viable research communities and the preservation of variety in global AI/ML" for consideration as a Research Article.</w:t>
      </w:r>
    </w:p>
    <w:p>
      <w:r>
        <w:t>The paper asks at what point the loss of artificial-intelligence (AI) researchers from a smaller research system becomes a lasting loss of variety for the field as a whole. It frames AI research talent as a general-purpose infrastructural input in the sense of Jevons's coal question, derives a four-step mechanism (career-transition rates -&gt; network externalities in recruitment -&gt; minimum viable coauthor scale -&gt; variety loss) from the researcher-mobility and evolutionary-economics literatures, and examines four propositions with a six-compartment ordinary-differential-equation model fitted to OpenAlex records for 723,647 AI/ML authors across 9 research macro-regions.</w:t>
      </w:r>
    </w:p>
    <w:p>
      <w:r>
        <w:t>Three findings are of direct relevance to the journal's readership. First, proximity to a point of no return is governed by the ratio of pool to threshold rather than by absolute size; the lowest ratio is 3.01 (Other Western (Israel)), and the closest point of no return is in Other Western (Israel), where a 67% change in I0 would drive the active pool to its threshold. Second, dropout, which drains every career stage, is the most elastic lever in 9 of 9 macro-regions. Third, transition rates from the later career window imply a shrinking equilibrium in Japan, indicating drift toward the threshold.</w:t>
      </w:r>
    </w:p>
    <w:p>
      <w:r>
        <w:t>The argument is built so that the research question follows from a theoretical gap: Section 2 moves from the two literatures to an explicit gap, from the gap to the mechanism, and from the mechanism to one research question and four mechanistic propositions (P1-P4). It includes an AI-specific argument for why homogenisation matters (algorithmic monoculture, the hardware lottery, benchmark and compute concentration, linguistic and data bias), with the counterarguments from economies of scale and open-source diffusion, and cross-domain historical cases of fields that narrowed and stagnated.</w:t>
      </w:r>
    </w:p>
    <w:p>
      <w:r>
        <w:t>We believe the paper fits Technology in Society because it treats AI research capacity itself as a sociotechnical infrastructure: not only as the workforce that produces a transformative technology, but as an institutional system whose geography, career dynamics and governance shape what that technology becomes. It examines how the organisation of that infrastructure interacts with policy and society, and its conclusion, that preserving variety across research macro-regions benefits the whole field rather than any single country, speaks to governments, funders, universities and early-career researchers alike.</w:t>
      </w:r>
    </w:p>
    <w:p>
      <w:r>
        <w:t>All results are reproducible from the public repository named in the Data and Code Availability statement (a single script regenerates every number, figure and table in the manuscript). The manuscript has not been published and is not under consideration elsewhere. All authors have approved the submission and declare no competing interests. Generative-AI tools were used in drafting and coding, as declared in the manuscript; the authors take full responsibility for the content.</w:t>
      </w:r>
    </w:p>
    <w:p>
      <w:r>
        <w:t>We have prepared a double-anonymised version of the manuscript for review and a separate Highlights file.</w:t>
      </w:r>
    </w:p>
    <w:p>
      <w:r>
        <w:t>Thank you for considering our work.</w:t>
      </w:r>
    </w:p>
    <w:p>
      <w:r>
        <w:t>Sincerely,</w:t>
      </w:r>
    </w:p>
    <w:p>
      <w:r>
        <w:t>[Corresponding author, affiliation and contact details to be completed at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