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AI research talent is framed as a general-purpose input, after Jevons's coal question</w:t>
      </w:r>
    </w:p>
    <w:p>
      <w:pPr>
        <w:pStyle w:val="ListBullet"/>
      </w:pPr>
      <w:r>
        <w:t>Career transition rates linked to minimum viable scale and lasting variety loss</w:t>
      </w:r>
    </w:p>
    <w:p>
      <w:pPr>
        <w:pStyle w:val="ListBullet"/>
      </w:pPr>
      <w:r>
        <w:t>Closest point of no return: Other Western (Israel), via 67% change in I0</w:t>
      </w:r>
    </w:p>
    <w:p>
      <w:pPr>
        <w:pStyle w:val="ListBullet"/>
      </w:pPr>
      <w:r>
        <w:t>Dropout, which drains every career stage, is the most elastic lever everywhere</w:t>
      </w:r>
    </w:p>
    <w:p>
      <w:pPr>
        <w:pStyle w:val="ListBullet"/>
      </w:pPr>
      <w:r>
        <w:t>Preserving macro-regional variety benefits the whole AI field, not only small systems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