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sz w:val="24"/>
        </w:rPr>
        <w:t>Tatsuki Onishi</w:t>
      </w:r>
    </w:p>
    <w:p>
      <w:pPr>
        <w:spacing w:after="120"/>
        <w:jc w:val="left"/>
      </w:pPr>
      <w:r>
        <w:rPr>
          <w:b w:val="0"/>
          <w:sz w:val="22"/>
        </w:rPr>
        <w:t>[Affiliation to be added]</w:t>
      </w:r>
    </w:p>
    <w:p>
      <w:pPr>
        <w:spacing w:after="120"/>
        <w:jc w:val="left"/>
      </w:pPr>
      <w:r>
        <w:rPr>
          <w:b w:val="0"/>
          <w:sz w:val="22"/>
        </w:rPr>
        <w:t>Email: bougtoir@gmail.com</w:t>
      </w:r>
    </w:p>
    <w:p>
      <w:pPr>
        <w:spacing w:after="120"/>
        <w:jc w:val="left"/>
      </w:pPr>
      <w:r>
        <w:rPr>
          <w:b w:val="0"/>
          <w:sz w:val="22"/>
        </w:rPr>
      </w:r>
    </w:p>
    <w:p>
      <w:pPr>
        <w:spacing w:after="120"/>
        <w:jc w:val="left"/>
      </w:pPr>
      <w:r>
        <w:rPr>
          <w:b w:val="0"/>
          <w:sz w:val="22"/>
        </w:rPr>
        <w:t>The Editors</w:t>
      </w:r>
    </w:p>
    <w:p>
      <w:pPr>
        <w:spacing w:after="120"/>
        <w:jc w:val="left"/>
      </w:pPr>
      <w:r>
        <w:rPr>
          <w:b w:val="0"/>
          <w:sz w:val="22"/>
        </w:rPr>
        <w:t>Stem Cell Reviews and Reports</w:t>
      </w:r>
    </w:p>
    <w:p>
      <w:pPr>
        <w:spacing w:after="120"/>
        <w:jc w:val="left"/>
      </w:pPr>
      <w:r>
        <w:rPr>
          <w:b w:val="0"/>
          <w:sz w:val="22"/>
        </w:rPr>
        <w:t>Springer Nature</w:t>
      </w:r>
    </w:p>
    <w:p>
      <w:pPr>
        <w:spacing w:after="120"/>
        <w:jc w:val="left"/>
      </w:pPr>
      <w:r>
        <w:rPr>
          <w:b w:val="0"/>
          <w:sz w:val="22"/>
        </w:rPr>
      </w:r>
    </w:p>
    <w:p>
      <w:pPr>
        <w:spacing w:after="120"/>
        <w:jc w:val="left"/>
      </w:pPr>
      <w:r>
        <w:rPr>
          <w:b w:val="0"/>
          <w:sz w:val="22"/>
        </w:rPr>
        <w:t>August 19, 2026</w:t>
      </w:r>
    </w:p>
    <w:p>
      <w:pPr>
        <w:spacing w:after="120"/>
        <w:jc w:val="left"/>
      </w:pPr>
      <w:r>
        <w:rPr>
          <w:b w:val="0"/>
          <w:sz w:val="22"/>
        </w:rPr>
      </w:r>
    </w:p>
    <w:p>
      <w:pPr>
        <w:spacing w:after="120"/>
        <w:jc w:val="left"/>
      </w:pPr>
      <w:r>
        <w:rPr>
          <w:b/>
          <w:sz w:val="22"/>
        </w:rPr>
        <w:t>Dear Editors,</w:t>
      </w:r>
    </w:p>
    <w:p>
      <w:pPr>
        <w:spacing w:after="120"/>
        <w:jc w:val="left"/>
      </w:pPr>
      <w:r>
        <w:rPr>
          <w:b w:val="0"/>
          <w:sz w:val="22"/>
        </w:rPr>
      </w:r>
    </w:p>
    <w:p>
      <w:pPr>
        <w:spacing w:after="120"/>
        <w:jc w:val="left"/>
      </w:pPr>
      <w:r>
        <w:rPr>
          <w:b w:val="0"/>
          <w:sz w:val="22"/>
        </w:rPr>
        <w:t>We are submitting our manuscript entitled "The Invisible Variables: Why Clonal Systems Are Not Immune to Environmental Confounding" for consideration as a Hypothesis and Commentary article in Stem Cell Reviews and Reports.</w:t>
      </w:r>
    </w:p>
    <w:p>
      <w:pPr>
        <w:spacing w:after="120"/>
        <w:jc w:val="left"/>
      </w:pPr>
      <w:r>
        <w:rPr>
          <w:b w:val="0"/>
          <w:sz w:val="22"/>
        </w:rPr>
        <w:t>The article argues that the pluripotent stem cell field has fallen into a 'clonal complacency trap': the tacit assumption that eliminating genetic variance removes the obligation to control environmental variance. We propose the central hypothesis that clonality reduces genetic variance but does not eliminate environmental variance. We review evidence that pluripotent stem cells are sensitive to humidity, volatile organic compounds, ambient light, electromagnetic fields, osmotic stress, and barometric pressure; summarize the gap between commercial good manufacturing practice facilities and academic research laboratories; and present an Internet-of-Things-enabled statistical roadmap for quantifying environmental contributions to differentiation outcomes. We also explain why retrospective database mining cannot resolve this question because submission timestamps are confounded by institutional calendars.</w:t>
      </w:r>
    </w:p>
    <w:p>
      <w:pPr>
        <w:spacing w:after="120"/>
        <w:jc w:val="left"/>
      </w:pPr>
      <w:r>
        <w:rPr>
          <w:b w:val="0"/>
          <w:sz w:val="22"/>
        </w:rPr>
        <w:t>This Commentary is timely because PSC-derived therapies are entering clinical trials, yet differentiation outcomes remain variable across laboratories. Identifying and measuring environmental confounders is a tractable step toward improving reproducibility in both basic research and clinical-grade manufacturing.</w:t>
      </w:r>
    </w:p>
    <w:p>
      <w:pPr>
        <w:spacing w:after="120"/>
        <w:jc w:val="left"/>
      </w:pPr>
      <w:r>
        <w:rPr>
          <w:b w:val="0"/>
          <w:sz w:val="22"/>
        </w:rPr>
        <w:t>The manuscript is approximately 3,000 words, contains one figure and two tables, and follows Vancouver-style numbered citations. It has not been submitted elsewhere. All authors have read and approved the submission and declare no conflicts of interest.</w:t>
      </w:r>
    </w:p>
    <w:p>
      <w:pPr>
        <w:spacing w:after="120"/>
        <w:jc w:val="left"/>
      </w:pPr>
      <w:r>
        <w:rPr>
          <w:b w:val="0"/>
          <w:sz w:val="22"/>
        </w:rPr>
        <w:t>We thank the Editors and reviewers for their consideration of our work.</w:t>
      </w:r>
    </w:p>
    <w:p>
      <w:pPr>
        <w:spacing w:after="120"/>
        <w:jc w:val="left"/>
      </w:pPr>
      <w:r>
        <w:rPr>
          <w:b w:val="0"/>
          <w:sz w:val="22"/>
        </w:rPr>
      </w:r>
    </w:p>
    <w:p>
      <w:pPr>
        <w:spacing w:after="120"/>
        <w:jc w:val="left"/>
      </w:pPr>
      <w:r>
        <w:rPr>
          <w:b w:val="0"/>
          <w:sz w:val="22"/>
        </w:rPr>
        <w:t>Sincerely,</w:t>
      </w:r>
    </w:p>
    <w:p>
      <w:pPr>
        <w:spacing w:after="120"/>
        <w:jc w:val="left"/>
      </w:pPr>
      <w:r>
        <w:rPr>
          <w:b/>
          <w:sz w:val="22"/>
        </w:rPr>
        <w:t>Tatsuki Onishi</w:t>
      </w:r>
    </w:p>
    <w:p>
      <w:pPr>
        <w:spacing w:after="120"/>
        <w:jc w:val="left"/>
      </w:pPr>
      <w:r>
        <w:rPr>
          <w:b w:val="0"/>
          <w:sz w:val="22"/>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