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pPr>
      <w:r>
        <w:rPr>
          <w:b/>
          <w:sz w:val="24"/>
        </w:rPr>
        <w:t>Point-by-point response to the Editor</w:t>
      </w:r>
    </w:p>
    <w:p>
      <w:pPr>
        <w:spacing w:after="240"/>
      </w:pPr>
      <w:r>
        <w:rPr>
          <w:sz w:val="20"/>
        </w:rPr>
        <w:t>Date: August 22, 2026</w:t>
      </w:r>
      <w:r>
        <w:rPr>
          <w:sz w:val="20"/>
        </w:rPr>
        <w:br/>
        <w:t>Submission ID: 0189f78d-cef6-4eba-8875-82662be53e05</w:t>
      </w:r>
    </w:p>
    <w:p>
      <w:pPr>
        <w:spacing w:after="60"/>
        <w:jc w:val="left"/>
      </w:pPr>
      <w:r>
        <w:rPr>
          <w:b/>
          <w:sz w:val="22"/>
        </w:rPr>
        <w:t>Editorial request: Resubmit as a Comment.</w:t>
      </w:r>
    </w:p>
    <w:p>
      <w:pPr>
        <w:spacing w:after="120" w:line="360" w:lineRule="auto"/>
        <w:jc w:val="left"/>
      </w:pPr>
      <w:r>
        <w:rPr>
          <w:sz w:val="22"/>
        </w:rPr>
        <w:t>We agree that a Comment is the most appropriate format for this argument. The revised manuscript is now submitted as a Comment.</w:t>
      </w:r>
    </w:p>
    <w:p>
      <w:pPr>
        <w:spacing w:after="60"/>
        <w:jc w:val="left"/>
      </w:pPr>
      <w:r>
        <w:rPr>
          <w:b/>
          <w:sz w:val="22"/>
        </w:rPr>
        <w:t>Comment format: maximum 1,500 words, 1 figure, 5 references, no abstract.</w:t>
      </w:r>
    </w:p>
    <w:p>
      <w:pPr>
        <w:spacing w:after="120" w:line="360" w:lineRule="auto"/>
        <w:jc w:val="left"/>
      </w:pPr>
      <w:r>
        <w:rPr>
          <w:sz w:val="22"/>
        </w:rPr>
        <w:t>The revised file contains 1,204 words including the figure legend and declarations (919 words in the main body, excluding references). It includes exactly one figure (Figure 1), five references numbered in order of appearance, and no abstract.</w:t>
      </w:r>
    </w:p>
    <w:p>
      <w:pPr>
        <w:spacing w:after="60"/>
        <w:jc w:val="left"/>
      </w:pPr>
      <w:r>
        <w:rPr>
          <w:b/>
          <w:sz w:val="22"/>
        </w:rPr>
        <w:t>Criterion: provide sufficient evidence to support the argument.</w:t>
      </w:r>
    </w:p>
    <w:p>
      <w:pPr>
        <w:spacing w:after="120" w:line="360" w:lineRule="auto"/>
        <w:jc w:val="left"/>
      </w:pPr>
      <w:r>
        <w:rPr>
          <w:sz w:val="22"/>
        </w:rPr>
        <w:t>The Comment cites five peer-reviewed sources. Volpato et al. establishes that laboratory-of-origin explains large transcriptomic variance; McCreery et al. provides a mechanistic basis for mechano-osmotic sensitivity; Bi et al. shows that ambient fine particulate matter reduces pluripotency in human embryonic stem cells; Cai et al. shows volatile organic compound effects in embryology laboratories; and Barrett et al. describes the GEO archive used for the exploratory metadata analysis. All empirical numbers are derived from public GEO data and are reproducible.</w:t>
      </w:r>
    </w:p>
    <w:p>
      <w:pPr>
        <w:spacing w:after="60"/>
        <w:jc w:val="left"/>
      </w:pPr>
      <w:r>
        <w:rPr>
          <w:b/>
          <w:sz w:val="22"/>
        </w:rPr>
        <w:t>Indicate in the system that the submission is a Comment.</w:t>
      </w:r>
    </w:p>
    <w:p>
      <w:pPr>
        <w:spacing w:after="120" w:line="360" w:lineRule="auto"/>
        <w:jc w:val="left"/>
      </w:pPr>
      <w:r>
        <w:rPr>
          <w:sz w:val="22"/>
        </w:rPr>
        <w:t>The cover letter and this response state explicitly that the revised manuscript is a Comment. We will select 'Comment' in the submission system during upload.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