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Tables for Stem Cell Reviews and Reports submission</w:t>
      </w:r>
    </w:p>
    <w:p>
      <w:r>
        <w:rPr>
          <w:i/>
          <w:sz w:val="22"/>
        </w:rPr>
        <w:t>Manuscript: The Invisible Variables: Why Clonal Systems Are Not Immune to Environmental Confounding</w:t>
      </w:r>
    </w:p>
    <w:p>
      <w:pPr>
        <w:spacing w:after="120" w:before="240" w:line="360" w:lineRule="auto"/>
        <w:jc w:val="both"/>
      </w:pPr>
      <w:r>
        <w:rPr>
          <w:b/>
          <w:sz w:val="20"/>
        </w:rPr>
        <w:t xml:space="preserve">Table 1. </w:t>
      </w:r>
      <w:r>
        <w:rPr>
          <w:sz w:val="20"/>
        </w:rPr>
        <w:t>Environmental parameters in commercial GMP versus typical academic PSC research laboratories.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/>
                <w:sz w:val="20"/>
              </w:rPr>
              <w:t>Commercial GMP status</w:t>
            </w:r>
          </w:p>
        </w:tc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/>
                <w:sz w:val="20"/>
              </w:rPr>
              <w:t>Academic research lab status</w:t>
            </w:r>
          </w:p>
        </w:tc>
      </w:tr>
      <w:tr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Temperature</w:t>
            </w:r>
          </w:p>
        </w:tc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37C +/- 0.1C; validated and alarmed</w:t>
            </w:r>
          </w:p>
        </w:tc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37C +/- 0.5C; rarely logged continuously</w:t>
            </w:r>
          </w:p>
        </w:tc>
      </w:tr>
      <w:tr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CO2</w:t>
            </w:r>
          </w:p>
        </w:tc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5% +/- 0.1%; calibrated regularly</w:t>
            </w:r>
          </w:p>
        </w:tc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5% setpoint; calibration ad hoc</w:t>
            </w:r>
          </w:p>
        </w:tc>
      </w:tr>
      <w:tr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Humidity</w:t>
            </w:r>
          </w:p>
        </w:tc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Actively controlled and monitored</w:t>
            </w:r>
          </w:p>
        </w:tc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Seasonally coupled to outdoor air; rarely logged</w:t>
            </w:r>
          </w:p>
        </w:tc>
      </w:tr>
      <w:tr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VOCs</w:t>
            </w:r>
          </w:p>
        </w:tc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Carbon filtration; real-time monitoring in some facilities</w:t>
            </w:r>
          </w:p>
        </w:tc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Typically unmonitored</w:t>
            </w:r>
          </w:p>
        </w:tc>
      </w:tr>
      <w:tr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Ambient light</w:t>
            </w:r>
          </w:p>
        </w:tc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Controlled during processing</w:t>
            </w:r>
          </w:p>
        </w:tc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Variable by hood/incubator design</w:t>
            </w:r>
          </w:p>
        </w:tc>
      </w:tr>
      <w:tr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ELF-EMF</w:t>
            </w:r>
          </w:p>
        </w:tc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Shielded or characterized during qualification</w:t>
            </w:r>
          </w:p>
        </w:tc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Uncharacterized</w:t>
            </w:r>
          </w:p>
        </w:tc>
      </w:tr>
      <w:tr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Barometric pressure</w:t>
            </w:r>
          </w:p>
        </w:tc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Not typically controlled; logged in validated clean rooms</w:t>
            </w:r>
          </w:p>
        </w:tc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Not logged</w:t>
            </w:r>
          </w:p>
        </w:tc>
      </w:tr>
      <w:tr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Vibration</w:t>
            </w:r>
          </w:p>
        </w:tc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Isolated or characterized</w:t>
            </w:r>
          </w:p>
        </w:tc>
        <w:tc>
          <w:tcPr>
            <w:tcW w:type="dxa" w:w="288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Uncharacterized</w:t>
            </w:r>
          </w:p>
        </w:tc>
      </w:tr>
    </w:tbl>
    <w:p>
      <w:pPr>
        <w:spacing w:after="240" w:before="0" w:line="360" w:lineRule="auto"/>
        <w:jc w:val="both"/>
      </w:pPr>
    </w:p>
    <w:p>
      <w:pPr>
        <w:spacing w:after="120" w:before="240" w:line="360" w:lineRule="auto"/>
        <w:jc w:val="both"/>
      </w:pPr>
      <w:r>
        <w:rPr>
          <w:b/>
          <w:sz w:val="20"/>
        </w:rPr>
        <w:t xml:space="preserve">Table 2. </w:t>
      </w:r>
      <w:r>
        <w:rPr>
          <w:sz w:val="20"/>
        </w:rPr>
        <w:t>Proposed IoT-enabled statistical roadmap for environmental profiling of PSC facilities.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/>
                <w:sz w:val="20"/>
              </w:rPr>
              <w:t xml:space="preserve"> Objective</w:t>
            </w:r>
          </w:p>
        </w:tc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/>
                <w:sz w:val="20"/>
              </w:rPr>
              <w:t xml:space="preserve"> Statistical design</w:t>
            </w:r>
          </w:p>
        </w:tc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/>
                <w:sz w:val="20"/>
              </w:rPr>
              <w:t xml:space="preserve"> Deliverable</w:t>
            </w:r>
          </w:p>
        </w:tc>
      </w:tr>
      <w:tr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I. Passive monitoring</w:t>
            </w:r>
          </w:p>
        </w:tc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Establish baseline multi-parameter environmental variance</w:t>
            </w:r>
          </w:p>
        </w:tc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Longitudinal mixed-effects models; seasonality decomposition; control-chart anomaly detection</w:t>
            </w:r>
          </w:p>
        </w:tc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Facility-specific variance budget per environmental parameter</w:t>
            </w:r>
          </w:p>
        </w:tc>
      </w:tr>
      <w:tr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II. Retrospective crosswalk</w:t>
            </w:r>
          </w:p>
        </w:tc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Identify candidate variables that correlate with historical batch outcomes</w:t>
            </w:r>
          </w:p>
        </w:tc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Time-lagged regression with cross-validation; false-discovery rate control; sensitivity analyses for reagent lot and operator</w:t>
            </w:r>
          </w:p>
        </w:tc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 xml:space="preserve"> ranked list of candidate variables</w:t>
            </w:r>
          </w:p>
        </w:tc>
      </w:tr>
      <w:tr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III. Controlled perturbation</w:t>
            </w:r>
          </w:p>
        </w:tc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Causally test high-priority variables</w:t>
            </w:r>
          </w:p>
        </w:tc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Blocked factorial or crossover designs; mixed models with random laboratory effect; equivalence testing for negative findings</w:t>
            </w:r>
          </w:p>
        </w:tc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Effect-size estimates and 95% confidence intervals</w:t>
            </w:r>
          </w:p>
        </w:tc>
      </w:tr>
      <w:tr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IV. Standardization</w:t>
            </w:r>
          </w:p>
        </w:tc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Deploy validated monitoring protocol across sites</w:t>
            </w:r>
          </w:p>
        </w:tc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Multi-center measurement-system analysis; Bland-Altman agreement; generalized linear mixed models for outcomes</w:t>
            </w:r>
          </w:p>
        </w:tc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Standard operating procedure and quality-control thresholds</w:t>
            </w:r>
          </w:p>
        </w:tc>
      </w:tr>
      <w:tr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V. Continuous audit</w:t>
            </w:r>
          </w:p>
        </w:tc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Maintain reproducibility over time</w:t>
            </w:r>
          </w:p>
        </w:tc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Automated control charts; change-point detection; periodic audit against reference standards</w:t>
            </w:r>
          </w:p>
        </w:tc>
        <w:tc>
          <w:tcPr>
            <w:tcW w:type="dxa" w:w="2160"/>
          </w:tcPr>
          <w:p>
            <w:pPr>
              <w:spacing w:after="120" w:before="0" w:line="276" w:lineRule="auto"/>
              <w:jc w:val="both"/>
            </w:pPr>
            <w:r>
              <w:rPr>
                <w:b w:val="0"/>
                <w:sz w:val="20"/>
              </w:rPr>
              <w:t>Annual reproducibility report and corrective-action 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