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color w:val="006699"/>
          <w:sz w:val="24"/>
        </w:rPr>
        <w:t>Hypothesis and Commentary</w:t>
      </w:r>
    </w:p>
    <w:p>
      <w:pPr>
        <w:spacing w:after="240" w:before="480" w:line="360" w:lineRule="auto"/>
        <w:jc w:val="both"/>
      </w:pPr>
      <w:r>
        <w:rPr>
          <w:b/>
          <w:sz w:val="32"/>
        </w:rPr>
        <w:t>The Invisible Variables: Why Clonal Systems Are Not Immune to Environmental Confounding</w:t>
      </w:r>
    </w:p>
    <w:p>
      <w:pPr>
        <w:spacing w:after="480" w:before="0" w:line="360" w:lineRule="auto"/>
        <w:jc w:val="both"/>
      </w:pPr>
      <w:r>
        <w:rPr>
          <w:sz w:val="22"/>
        </w:rPr>
        <w:t>Tatsuki Onishi</w:t>
      </w:r>
      <w:r>
        <w:rPr>
          <w:sz w:val="18"/>
          <w:vertAlign w:val="superscript"/>
        </w:rPr>
        <w:t>1,*</w:t>
      </w:r>
    </w:p>
    <w:p>
      <w:pPr>
        <w:spacing w:after="60" w:before="0" w:line="360" w:lineRule="auto"/>
        <w:jc w:val="both"/>
      </w:pPr>
      <w:r>
        <w:rPr>
          <w:sz w:val="18"/>
          <w:vertAlign w:val="superscript"/>
        </w:rPr>
        <w:t>1</w:t>
      </w:r>
      <w:r>
        <w:rPr>
          <w:sz w:val="20"/>
        </w:rPr>
        <w:t>[Affiliation to be added]</w:t>
      </w:r>
    </w:p>
    <w:p>
      <w:pPr>
        <w:spacing w:after="360" w:before="0" w:line="360" w:lineRule="auto"/>
        <w:jc w:val="both"/>
      </w:pPr>
      <w:r>
        <w:rPr>
          <w:i/>
          <w:sz w:val="20"/>
        </w:rPr>
        <w:t>*Correspondence: bougtoir@gmail.com</w:t>
      </w:r>
    </w:p>
    <w:p>
      <w:pPr>
        <w:pStyle w:val="Heading2"/>
      </w:pPr>
      <w:r>
        <w:rPr>
          <w:color w:val="000000"/>
        </w:rPr>
        <w:t>Abstract</w:t>
      </w:r>
    </w:p>
    <w:p>
      <w:pPr>
        <w:spacing w:after="120" w:before="0" w:line="360" w:lineRule="auto"/>
        <w:jc w:val="both"/>
      </w:pPr>
      <w:r>
        <w:rPr>
          <w:sz w:val="22"/>
        </w:rPr>
        <w:t>Pluripotent stem cell (PSC) differentiation remains variable even when genetically identical cell lines are used and protocols are nominally standardized. We propose that the field has fallen into a 'clonal complacency trap': the assumption that eliminating genetic variance removes the obligation to control environmental variance. Here we argue that clonality reduces genetic variance but does not eliminate environmental variance, and that most PSC research laboratories monitor only temperature and CO2 while leaving humidity, volatile organic compounds (VOCs), ambient light, electromagnetic fields (EMF), and barometric pressure largely unmonitored. We review evidence that PSCs are intrinsically sensitive to these variables, summarize the gap between commercial good manufacturing practice (GMP) facilities and academic research laboratories, and present an Internet-of-Things (IoT) statistical roadmap for quantifying environmental contributions to differentiation outcomes. We also explain why retrospective database mining, including an exploratory analysis of 6,101 NCBI Gene Expression Omnibus (GEO) submission dates, cannot resolve this question because submission timing is confounded by institutional calendars. The hypothesis is testable through prospective environmental monitoring paired with differentiation outcomes, and its verification would improve the reproducibility of both basic research and clinical-grade PSC manufacturing.</w:t>
      </w:r>
    </w:p>
    <w:p>
      <w:pPr>
        <w:spacing w:after="120" w:before="240" w:line="360" w:lineRule="auto"/>
        <w:jc w:val="both"/>
      </w:pPr>
      <w:r>
        <w:rPr>
          <w:b/>
          <w:sz w:val="20"/>
        </w:rPr>
        <w:t xml:space="preserve">Keywords: </w:t>
      </w:r>
      <w:r>
        <w:rPr>
          <w:sz w:val="20"/>
        </w:rPr>
        <w:t>pluripotent stem cells; clonality; environmental confounding; reproducibility; IoT monitoring; cell culture</w:t>
      </w:r>
    </w:p>
    <w:p>
      <w:r>
        <w:br w:type="page"/>
      </w:r>
    </w:p>
    <w:p>
      <w:pPr>
        <w:pStyle w:val="Heading2"/>
      </w:pPr>
      <w:r>
        <w:rPr>
          <w:color w:val="000000"/>
        </w:rPr>
        <w:t>Introduction</w:t>
      </w:r>
    </w:p>
    <w:p>
      <w:pPr>
        <w:spacing w:after="120" w:before="0" w:line="360" w:lineRule="auto"/>
        <w:jc w:val="both"/>
      </w:pPr>
      <w:r>
        <w:rPr>
          <w:sz w:val="22"/>
        </w:rPr>
        <w:t>Pluripotent stem cell (PSC)-derived therapies are approaching clinical reality, with over a hundred active trials and more than a thousand patients treated as of 2024.</w:t>
      </w:r>
      <w:r>
        <w:rPr>
          <w:sz w:val="18"/>
          <w:vertAlign w:val="superscript"/>
        </w:rPr>
        <w:t>1</w:t>
      </w:r>
      <w:r>
        <w:rPr>
          <w:sz w:val="22"/>
        </w:rPr>
        <w:t xml:space="preserve"> Yet differentiation protocols remain notoriously variable across laboratories and even between batches within a single group.</w:t>
      </w:r>
      <w:r>
        <w:rPr>
          <w:sz w:val="18"/>
          <w:vertAlign w:val="superscript"/>
        </w:rPr>
        <w:t>2-5</w:t>
      </w:r>
      <w:r>
        <w:rPr>
          <w:sz w:val="22"/>
        </w:rPr>
        <w:t xml:space="preserve"> The field has invested heavily in controlling genetic and recipe variables-growth factors, small molecules, extracellular matrices, and timing-while largely ignoring the physical environment in which these variables are executed.</w:t>
      </w:r>
    </w:p>
    <w:p>
      <w:pPr>
        <w:spacing w:after="120" w:before="0" w:line="360" w:lineRule="auto"/>
        <w:jc w:val="both"/>
      </w:pPr>
      <w:r>
        <w:rPr>
          <w:sz w:val="22"/>
        </w:rPr>
        <w:t>A tacit assumption underlies this neglect: clonal or isogenic systems are, by virtue of their genetic uniformity, automatically controlled for confounding. If all cells share the same genome, the argument goes, then residual variation must be either stochastic or technical-and therefore not amenable to environmental adjustment. We call this the 'clonal complacency trap.' It conflates the removal of genetic variance with the removal of all systematic variance, and it discourages the stratification, regression, and sensitivity analyses that observational scientists would consider mandatory. The central claim of this Commentary is that clonality reduces genetic variance but does not eliminate environmental variance (Figure 1).</w:t>
      </w:r>
    </w:p>
    <w:p>
      <w:pPr>
        <w:spacing w:after="120" w:before="0" w:line="360" w:lineRule="auto"/>
        <w:jc w:val="both"/>
      </w:pPr>
      <w:r>
        <w:rPr>
          <w:sz w:val="22"/>
        </w:rPr>
        <w:t>The distinction matters because PSCs are not merely cells with the same DNA. They are cells in a metabolically active, chromatin-open, rapidly proliferating state whose fate decisions are gated by small changes in osmolarity, mechanical stress, and signaling molecules.</w:t>
      </w:r>
      <w:r>
        <w:rPr>
          <w:sz w:val="18"/>
          <w:vertAlign w:val="superscript"/>
        </w:rPr>
        <w:t>6-7</w:t>
      </w:r>
      <w:r>
        <w:rPr>
          <w:sz w:val="22"/>
        </w:rPr>
        <w:t xml:space="preserve"> When a cell line is clonal, genetic heterogeneity is minimized. But the environmental exposure of that clone across days, seasons, and laboratories remains a random variable, not a constant. Treating it as zero is an assumption, not a fact, and the evidence is increasingly against it.</w:t>
      </w:r>
    </w:p>
    <w:p>
      <w:pPr>
        <w:spacing w:after="120" w:before="0" w:line="360" w:lineRule="auto"/>
        <w:jc w:val="both"/>
      </w:pPr>
      <w:r>
        <w:rPr>
          <w:sz w:val="22"/>
        </w:rPr>
        <w:t>Multi-site reproducibility studies provide empirical support for this reframing. Volpato et al.</w:t>
      </w:r>
      <w:r>
        <w:rPr>
          <w:sz w:val="18"/>
          <w:vertAlign w:val="superscript"/>
        </w:rPr>
        <w:t>3</w:t>
      </w:r>
      <w:r>
        <w:rPr>
          <w:sz w:val="22"/>
        </w:rPr>
        <w:t xml:space="preserve"> found that laboratory-of-origin was the dominant source of variance in iPSC-derived neuron transcriptomes, exceeding the effect of genetic background or differentiation batch. Current explanations invoke operator technique, reagent lots, and passage number, but these account for only a fraction of observed variance. We propose that unmeasured environmental differences between laboratories constitute a missing explanatory variable-and that the clonal paradigm has delayed its recognition.</w:t>
      </w:r>
    </w:p>
    <w:p>
      <w:pPr>
        <w:pStyle w:val="Heading2"/>
      </w:pPr>
      <w:r>
        <w:rPr>
          <w:color w:val="000000"/>
        </w:rPr>
        <w:t>Why Pluripotent Stem Cells Are Uniquely Vulnerable</w:t>
      </w:r>
    </w:p>
    <w:p>
      <w:pPr>
        <w:spacing w:after="120" w:before="0" w:line="360" w:lineRule="auto"/>
        <w:jc w:val="both"/>
      </w:pPr>
      <w:r>
        <w:rPr>
          <w:sz w:val="22"/>
        </w:rPr>
        <w:t>Five lines of evidence justify the hypothesis that environmental perturbations matter more for PSCs than for differentiated cells. First, PSCs display markedly greater chemical sensitivity. Panina et al.</w:t>
      </w:r>
      <w:r>
        <w:rPr>
          <w:sz w:val="18"/>
          <w:vertAlign w:val="superscript"/>
        </w:rPr>
        <w:t>6</w:t>
      </w:r>
      <w:r>
        <w:rPr>
          <w:sz w:val="22"/>
        </w:rPr>
        <w:t xml:space="preserve"> showed that human iPS cells are approximately 1.5-fold more sensitive to drug exposure than embryonic stem cells, and both are several-fold less resistant than non-pluripotent cell types. Naive-state induction further heightened sensitivity, establishing a gradient: the more undifferentiated the cell, the more vulnerable it is to environmental perturbation.</w:t>
      </w:r>
    </w:p>
    <w:p>
      <w:pPr>
        <w:spacing w:after="120" w:before="0" w:line="360" w:lineRule="auto"/>
        <w:jc w:val="both"/>
      </w:pPr>
      <w:r>
        <w:rPr>
          <w:sz w:val="22"/>
        </w:rPr>
        <w:t>Second, osmotic perturbations of small magnitude can gate cell-fate transitions. McCreery et al.</w:t>
      </w:r>
      <w:r>
        <w:rPr>
          <w:sz w:val="18"/>
          <w:vertAlign w:val="superscript"/>
        </w:rPr>
        <w:t>7</w:t>
      </w:r>
      <w:r>
        <w:rPr>
          <w:sz w:val="22"/>
        </w:rPr>
        <w:t xml:space="preserve"> demonstrated that compaction-triggered changes in nuclear shape and volume in human iPSCs remodel chromatin architecture and prime cells for ectodermal differentiation. The implication for routine culture is direct: during biosafety cabinet work, medium evaporates at rates determined by ambient humidity, producing osmolarity shifts that could cross the thresholds identified in their work. Chui et al.</w:t>
      </w:r>
      <w:r>
        <w:rPr>
          <w:sz w:val="18"/>
          <w:vertAlign w:val="superscript"/>
        </w:rPr>
        <w:t>8</w:t>
      </w:r>
      <w:r>
        <w:rPr>
          <w:sz w:val="22"/>
        </w:rPr>
        <w:t xml:space="preserve"> further showed that hyperosmotic culture drives reversible cell-cycle exit and maturation in iPSC-derived cells through NF-kappaB and WNT signaling.</w:t>
      </w:r>
    </w:p>
    <w:p>
      <w:pPr>
        <w:spacing w:after="120" w:before="0" w:line="360" w:lineRule="auto"/>
        <w:jc w:val="both"/>
      </w:pPr>
      <w:r>
        <w:rPr>
          <w:sz w:val="22"/>
        </w:rPr>
        <w:t>Third, PSCs depend on circadian clock components in a non-canonical manner. CRY1 is upregulated in iPSCs and ESCs compared with somatic cells, and its deletion impairs self-renewal and disrupts reprogramming.</w:t>
      </w:r>
      <w:r>
        <w:rPr>
          <w:sz w:val="18"/>
          <w:vertAlign w:val="superscript"/>
        </w:rPr>
        <w:t>9</w:t>
      </w:r>
      <w:r>
        <w:rPr>
          <w:sz w:val="22"/>
        </w:rPr>
        <w:t xml:space="preserve"> BMAL1 coordinates energy metabolism and differentiation independently of circadian oscillation, which is suppressed in pluripotent cells.</w:t>
      </w:r>
      <w:r>
        <w:rPr>
          <w:sz w:val="18"/>
          <w:vertAlign w:val="superscript"/>
        </w:rPr>
        <w:t>10</w:t>
      </w:r>
      <w:r>
        <w:rPr>
          <w:sz w:val="22"/>
        </w:rPr>
        <w:t xml:space="preserve"> Because clock molecules are present without a fully buffered circadian oscillator, PSCs may be unusually sensitive to ambient light cycles leaking into incubators or biosafety cabinets.</w:t>
      </w:r>
    </w:p>
    <w:p>
      <w:pPr>
        <w:spacing w:after="120" w:before="0" w:line="360" w:lineRule="auto"/>
        <w:jc w:val="both"/>
      </w:pPr>
      <w:r>
        <w:rPr>
          <w:sz w:val="22"/>
        </w:rPr>
        <w:t>Fourth, airborne pollutants affect PSCs at concentrations that leave somatic cells unharmed. Fine particulate matter (PM2.5) downregulates pluripotency markers NANOG and OCT4 in human ESCs through ROS-mediated AKT/ERK signaling.</w:t>
      </w:r>
      <w:r>
        <w:rPr>
          <w:sz w:val="18"/>
          <w:vertAlign w:val="superscript"/>
        </w:rPr>
        <w:t>11</w:t>
      </w:r>
      <w:r>
        <w:rPr>
          <w:sz w:val="22"/>
        </w:rPr>
        <w:t xml:space="preserve"> In IVF laboratories, real-time VOC monitoring revealed that even low concentrations linearly predicted decreased blastocyst quality, and reducing VOCs increased blastocyst formation by 18% and live birth rates by 8%.</w:t>
      </w:r>
      <w:r>
        <w:rPr>
          <w:sz w:val="18"/>
          <w:vertAlign w:val="superscript"/>
        </w:rPr>
        <w:t>12-13</w:t>
      </w:r>
      <w:r>
        <w:rPr>
          <w:sz w:val="22"/>
        </w:rPr>
        <w:t xml:space="preserve"> Importantly, the effect was specific to fresh embryos; frozen embryos were unaffected, indicating that early-stage cells are selectively vulnerable.</w:t>
      </w:r>
    </w:p>
    <w:p>
      <w:pPr>
        <w:spacing w:after="120" w:before="0" w:line="360" w:lineRule="auto"/>
        <w:jc w:val="both"/>
      </w:pPr>
      <w:r>
        <w:rPr>
          <w:sz w:val="22"/>
        </w:rPr>
        <w:t>Fifth, ELF-EMF and other physical variables have documented effects on pluripotent cells. Czyz et al.</w:t>
      </w:r>
      <w:r>
        <w:rPr>
          <w:sz w:val="18"/>
          <w:vertAlign w:val="superscript"/>
        </w:rPr>
        <w:t>14</w:t>
      </w:r>
      <w:r>
        <w:rPr>
          <w:sz w:val="22"/>
        </w:rPr>
        <w:t xml:space="preserve"> showed that 50 Hz power-line magnetic fields alter gene expression in mouse embryonic stem cells. Cosmic ray flux correlates with four-day rhythms of proliferative activity in cultured L-929 cells.</w:t>
      </w:r>
      <w:r>
        <w:rPr>
          <w:sz w:val="18"/>
          <w:vertAlign w:val="superscript"/>
        </w:rPr>
        <w:t>15</w:t>
      </w:r>
      <w:r>
        <w:rPr>
          <w:sz w:val="22"/>
        </w:rPr>
        <w:t xml:space="preserve"> Barometric pressure fluctuations, building vibration, and water quality are rarely logged but plausibly modulate the same mechano-osmotic and pH-dependent pathways that govern PSC fate.</w:t>
      </w:r>
      <w:r>
        <w:rPr>
          <w:sz w:val="18"/>
          <w:vertAlign w:val="superscript"/>
        </w:rPr>
        <w:t>7-8</w:t>
      </w:r>
      <w:r>
        <w:rPr>
          <w:sz w:val="22"/>
        </w:rPr>
      </w:r>
    </w:p>
    <w:p>
      <w:pPr>
        <w:spacing w:after="120" w:before="0" w:line="360" w:lineRule="auto"/>
        <w:jc w:val="both"/>
      </w:pPr>
      <w:r>
        <w:rPr>
          <w:sz w:val="22"/>
        </w:rPr>
        <w:t>Together, these findings point to a coherent picture: PSCs sit at an energetically shallow decision landscape where subtle environmental shifts can tip the balance between self-renewal and lineage commitment. What remains unknown is the real-world magnitude of these effects in working laboratories. The question is not whether PSCs can respond to environmental cues-they clearly can-but which cues matter, by how much, and whether current laboratories control them.</w:t>
      </w:r>
    </w:p>
    <w:p>
      <w:pPr>
        <w:pStyle w:val="Heading2"/>
      </w:pPr>
      <w:r>
        <w:rPr>
          <w:color w:val="000000"/>
        </w:rPr>
        <w:t>The GMP-Research Laboratory Gap</w:t>
      </w:r>
    </w:p>
    <w:p>
      <w:pPr>
        <w:spacing w:after="120" w:before="0" w:line="360" w:lineRule="auto"/>
        <w:jc w:val="both"/>
      </w:pPr>
      <w:r>
        <w:rPr>
          <w:sz w:val="22"/>
        </w:rPr>
        <w:t>Commercial cell-therapy manufacturing and academic research laboratories operate under different environmental control regimes. Good manufacturing practice (GMP) facilities validate temperature, CO2, humidity, particulate counts, microbial contamination, and operator flow, and maintain continuous monitoring records for regulatory audit.</w:t>
      </w:r>
      <w:r>
        <w:rPr>
          <w:sz w:val="18"/>
          <w:vertAlign w:val="superscript"/>
        </w:rPr>
        <w:t>17</w:t>
      </w:r>
      <w:r>
        <w:rPr>
          <w:sz w:val="22"/>
        </w:rPr>
        <w:t xml:space="preserve"> This level of control is why commercial manufacturing has long treated environmental parameters as critical process variables, implementing dedicated sites, monitored airflow, temperature loggers, and sensors for metabolic activity of cells.</w:t>
      </w:r>
    </w:p>
    <w:p>
      <w:pPr>
        <w:spacing w:after="120" w:before="0" w:line="360" w:lineRule="auto"/>
        <w:jc w:val="both"/>
      </w:pPr>
      <w:r>
        <w:rPr>
          <w:sz w:val="22"/>
        </w:rPr>
        <w:t>Academic research laboratories, by contrast, typically control only incubator temperature and CO2. Humidity is seasonally coupled to outdoor air; VOCs are introduced by building materials, disinfectants, and HVAC systems; ambient light varies by hood and incubator design; EMF is uncharacterized; and barometric pressure, vibration, and water quality are not logged.</w:t>
      </w:r>
      <w:r>
        <w:rPr>
          <w:sz w:val="18"/>
          <w:vertAlign w:val="superscript"/>
        </w:rPr>
        <w:t>16-17</w:t>
      </w:r>
      <w:r>
        <w:rPr>
          <w:sz w:val="22"/>
        </w:rPr>
        <w:t xml:space="preserve"> Mizuno et al.</w:t>
      </w:r>
      <w:r>
        <w:rPr>
          <w:sz w:val="18"/>
          <w:vertAlign w:val="superscript"/>
        </w:rPr>
        <w:t>16</w:t>
      </w:r>
      <w:r>
        <w:rPr>
          <w:sz w:val="22"/>
        </w:rPr>
        <w:t xml:space="preserve"> found that even in a Japanese academic cell-processing facility, humidity tracked outdoor seasonal patterns and bacterial or fungal contamination rates rose significantly above 55% relative humidity. The authors noted that humidity control equipment 'is expensive and usually not set up in academic institutions.' Klein et al.</w:t>
      </w:r>
      <w:r>
        <w:rPr>
          <w:sz w:val="18"/>
          <w:vertAlign w:val="superscript"/>
        </w:rPr>
        <w:t>17</w:t>
      </w:r>
      <w:r>
        <w:rPr>
          <w:sz w:val="22"/>
        </w:rPr>
        <w:t xml:space="preserve"> similarly concluded that environmental control in mammalian cell culture is underdeveloped relative to other quality dimensions. Table 1 summarizes the contrast between commercial GMP and typical academic research laboratories.</w:t>
      </w:r>
    </w:p>
    <w:p>
      <w:pPr>
        <w:spacing w:after="120" w:before="0" w:line="360" w:lineRule="auto"/>
        <w:jc w:val="both"/>
      </w:pPr>
      <w:r>
        <w:rPr>
          <w:sz w:val="22"/>
        </w:rPr>
        <w:t>The point is not that GMP facilities are perfect; rather, the variables they monitor are themselves evidence of which environmental parameters the field considers important once product quality is at stake. Academic research has not adopted the same monitoring discipline, not because the variables are irrelevant, but because there is no regulatory or funding incentive to do so. We argue that the same logic applies to reproducibility: without measuring environmental exposure, one cannot attribute variation to the correct source.</w:t>
      </w:r>
    </w:p>
    <w:p>
      <w:pPr>
        <w:spacing w:after="120" w:before="0" w:line="360" w:lineRule="auto"/>
        <w:jc w:val="both"/>
      </w:pPr>
      <w:r>
        <w:rPr>
          <w:sz w:val="22"/>
        </w:rPr>
        <w:t>Cost-effectiveness arguments should also be reframed. A multi-parameter IoT sensor package for a standard PSC facility currently costs less than a few thousand dollars and requires minimal maintenance. By comparison, the cost of an unexplained failed differentiation batch-in reagents, time, and lost data-can exceed that amount many times over. When clinical translation is the goal, the cost of undetected environmental variation includes failed product lots, regulatory delays, and compromised patient safety. Environmental monitoring is therefore not an optional luxury but a prerequisite for reproducible stem-cell science.</w:t>
      </w:r>
    </w:p>
    <w:p>
      <w:pPr>
        <w:pStyle w:val="Heading2"/>
      </w:pPr>
      <w:r>
        <w:rPr>
          <w:color w:val="000000"/>
        </w:rPr>
        <w:t>An IoT Roadmap for Quantifying Invisible Variables</w:t>
      </w:r>
    </w:p>
    <w:p>
      <w:pPr>
        <w:spacing w:after="120" w:before="0" w:line="360" w:lineRule="auto"/>
        <w:jc w:val="both"/>
      </w:pPr>
      <w:r>
        <w:rPr>
          <w:sz w:val="22"/>
        </w:rPr>
        <w:t>What is missing is not another culture medium or transcription factor, but a systematic environmental monitoring infrastructure paired with an appropriate statistical design. Modern Internet-of-Things (IoT) sensors can measure temperature, humidity, illuminance, VOCs, ELF-EMF, barometric pressure, and vibration at 1-minute resolution for modest cost. The challenge is not sensor availability but study design: how to separate environmental signal from batch, operator, reagent lot, and genetic effects.</w:t>
      </w:r>
    </w:p>
    <w:p>
      <w:pPr>
        <w:spacing w:after="120" w:before="0" w:line="360" w:lineRule="auto"/>
        <w:jc w:val="both"/>
      </w:pPr>
      <w:r>
        <w:rPr>
          <w:sz w:val="22"/>
        </w:rPr>
        <w:t>We propose a five-phase roadmap (Table 2). Phase I establishes a baseline by deploying multi-parameter sensors alongside routine differentiation outcomes for at least 12 months, covering one full seasonal cycle. Longitudinal mixed-effects models decompose variance into fixed seasonal components and random laboratory or batch effects, while control-chart methods flag anomalous environmental excursions. Phase II crosswalks these data with historical batch outcomes, using time-lagged regression and false-discovery-rate control to identify candidate variables. Phase III tests high-priority variables causally through blocked factorial or crossover experiments with mixed models and equivalence testing for negative findings. Phase IV translates validated monitoring into a multi-center standard operating procedure. Phase V maintains reproducibility through continuous automated auditing.</w:t>
      </w:r>
    </w:p>
    <w:p>
      <w:pPr>
        <w:spacing w:after="120" w:before="0" w:line="360" w:lineRule="auto"/>
        <w:jc w:val="both"/>
      </w:pPr>
      <w:r>
        <w:rPr>
          <w:sz w:val="22"/>
        </w:rPr>
        <w:t>The five phases and their statistical requirements are summarized in Table 2. Several analytical choices are critical. Because differentiation outcomes are typically proportions or counts (differentiation efficiency, yield, marker purity), generalized linear mixed models with appropriate link functions are preferable to raw linear regression. Multiple comparison correction is essential when many environmental parameters are tested; we recommend false-discovery-rate control at the exploratory stage and family-wise error control for confirmatory contrasts. Seasonal components should be modeled with circular or harmonic terms rather than arbitrary month labels. Cross-validation and holdout laboratories should be used to assess external validity. Finally, null findings should be reported with equivalence bounds, so that absence of evidence is not mistaken for evidence of absence.</w:t>
      </w:r>
    </w:p>
    <w:p>
      <w:pPr>
        <w:spacing w:after="120" w:before="0" w:line="360" w:lineRule="auto"/>
        <w:jc w:val="both"/>
      </w:pPr>
      <w:r>
        <w:rPr>
          <w:sz w:val="22"/>
        </w:rPr>
        <w:t>In practice, Phase I should be treated as a variance-budgeting exercise rather than a formal hypothesis test. Its purpose is to estimate the baseline magnitude and autocorrelation of environmental fluctuations and to rank them by their association with routine batch outcomes. A pilot can begin with a single incubator or biosafety cabinet, one multi-parameter sensor, and the differentiation assays already in use. After 12 months, the variance components from Phase I directly inform the sample size and equivalence bounds for Phase III. This staged design prevents an underpowered causal experiment and keeps the initial implementation cost below that of a single failed batch.</w:t>
      </w:r>
    </w:p>
    <w:p>
      <w:pPr>
        <w:pStyle w:val="Heading2"/>
      </w:pPr>
      <w:r>
        <w:rPr>
          <w:color w:val="000000"/>
        </w:rPr>
        <w:t>Retrospective Evidence and Its Limits</w:t>
      </w:r>
    </w:p>
    <w:p>
      <w:pPr>
        <w:spacing w:after="120" w:before="0" w:line="360" w:lineRule="auto"/>
        <w:jc w:val="both"/>
      </w:pPr>
      <w:r>
        <w:rPr>
          <w:sz w:val="22"/>
        </w:rPr>
        <w:t>A tempting alternative to prospective monitoring is retrospective analysis of public databases. An exploratory analysis of 6,101 PSC differentiation-related datasets from NCBI GEO</w:t>
      </w:r>
      <w:r>
        <w:rPr>
          <w:sz w:val="18"/>
          <w:vertAlign w:val="superscript"/>
        </w:rPr>
        <w:t>18</w:t>
      </w:r>
      <w:r>
        <w:rPr>
          <w:sz w:val="22"/>
        </w:rPr>
        <w:t xml:space="preserve"> shows why this approach is informative as a methodological caution, not as biological evidence. The overall dataset showed a March peak in submission dates. A natural experiment using academic-calendar groups found that the March signal was concentrated in Japan (n=200), while South Korea (n=50) did not show a comparable March peak. The larger September-start group peaked in January and showed no significant seasonality, and the small Southern Hemisphere group did not show a hemisphere-inverted peak. These mixed patterns show that GEO submission dates cannot separate institutional and biological seasonality.</w:t>
      </w:r>
    </w:p>
    <w:p>
      <w:pPr>
        <w:spacing w:after="120" w:before="0" w:line="360" w:lineRule="auto"/>
        <w:jc w:val="both"/>
      </w:pPr>
      <w:r>
        <w:rPr>
          <w:sz w:val="22"/>
        </w:rPr>
        <w:t>This result illustrates a general limitation: GEO submission dates are a convolution of experiment timing, analysis duration, manuscript writing, peer review, revision, and institutional reporting deadlines, with typical lags of 6-18 months from bench to deposition. Even if PSC differentiation were strongly seasonal, that signal would be obscured by institutional rhythms. Distinguishing biological seasonality from institutional artifacts requires either date-stamped experimental metadata (which GEO rarely provides) or direct prospective measurement. Database mining can therefore generate hypotheses, but it cannot test them.</w:t>
      </w:r>
    </w:p>
    <w:p>
      <w:pPr>
        <w:spacing w:after="120" w:before="0" w:line="360" w:lineRule="auto"/>
        <w:jc w:val="both"/>
      </w:pPr>
      <w:r>
        <w:rPr>
          <w:sz w:val="22"/>
        </w:rPr>
        <w:t>Similarly, exploratory correlations between PSC dataset volume and solar activity indices were entirely explained by shared secular trends: after detrending, the correlation vanished. Co-trending time series are a well-known source of spurious associations, and the extreme Northern Hemisphere imbalance of GEO submissions (over 95% of records with country data) precludes meaningful hemisphere-inversion tests. These findings do not rule out solar or seasonal effects; they simply show that public metadata are insufficient to detect them.</w:t>
      </w:r>
    </w:p>
    <w:p>
      <w:pPr>
        <w:pStyle w:val="Heading2"/>
      </w:pPr>
      <w:r>
        <w:rPr>
          <w:color w:val="000000"/>
        </w:rPr>
        <w:t>Discussion and Implications</w:t>
      </w:r>
    </w:p>
    <w:p>
      <w:pPr>
        <w:spacing w:after="120" w:before="0" w:line="360" w:lineRule="auto"/>
        <w:jc w:val="both"/>
      </w:pPr>
      <w:r>
        <w:rPr>
          <w:sz w:val="22"/>
        </w:rPr>
        <w:t>The clonal complacency trap-the equation of genetic uniformity with environmental invariance-has led the PSC field to neglect a correctable source of irreproducibility. Clonality reduces genetic variance but does not eliminate environmental variance. PSCs are biologically primed to respond to humidity, VOCs, light, EMF, osmotic stress, and barometric pressure; most academic laboratories do not monitor these variables; and public databases cannot substitute for direct measurement because their timestamps are confounded by institutional calendars. The path forward is prospective IoT-enabled environmental monitoring paired with a rigorous mixed-effects statistical framework.</w:t>
      </w:r>
    </w:p>
    <w:p>
      <w:pPr>
        <w:spacing w:after="120" w:before="0" w:line="360" w:lineRule="auto"/>
        <w:jc w:val="both"/>
      </w:pPr>
      <w:r>
        <w:rPr>
          <w:sz w:val="22"/>
        </w:rPr>
        <w:t>Regulatory frameworks for advanced therapy medicinal products are increasingly emphasizing Quality by Design and process analytical technology. Environmental monitoring fits naturally into those frameworks: a control strategy that treats physical variables as potential critical process parameters, not background noise, would align academic research with the standards expected in clinical manufacturing and reduce downstream regulatory risk.</w:t>
      </w:r>
    </w:p>
    <w:p>
      <w:pPr>
        <w:spacing w:after="120" w:before="0" w:line="360" w:lineRule="auto"/>
        <w:jc w:val="both"/>
      </w:pPr>
      <w:r>
        <w:rPr>
          <w:sz w:val="22"/>
        </w:rPr>
        <w:t>The IVF field provides a precedent. When embryology laboratories began monitoring and filtering air, many saw measurable improvements in outcomes.</w:t>
      </w:r>
      <w:r>
        <w:rPr>
          <w:sz w:val="18"/>
          <w:vertAlign w:val="superscript"/>
        </w:rPr>
        <w:t>12-13</w:t>
      </w:r>
      <w:r>
        <w:rPr>
          <w:sz w:val="22"/>
        </w:rPr>
        <w:t xml:space="preserve"> The PSC field is at a similar inflection point, with the added advantage that modern sensors and cloud data infrastructure make comprehensive environmental logging far cheaper and more scalable than two decades ago. We do not claim that uncontrolled environments are the only or dominant source of PSC variability; rather, we claim that they remain unmeasured, that measurement is feasible, and that failing to measure them weakens the scientific basis for comparing protocols, lines, and laboratories. Testing the central hypothesis-that environmental variance explains a non-trivial fraction of residual PSC differentiation variability-is both urgent and tractable.</w:t>
      </w:r>
    </w:p>
    <w:p>
      <w:pPr>
        <w:spacing w:after="120" w:before="0" w:line="360" w:lineRule="auto"/>
        <w:jc w:val="both"/>
      </w:pPr>
      <w:r>
        <w:rPr>
          <w:sz w:val="22"/>
        </w:rPr>
        <w:t>Several caveats are worth stating explicitly. This Commentary does not present new experimental measurements of PSC cultures under controlled environmental perturbations; its empirical contribution is a methodological demonstration that public GEO metadata are too noisy for this question. The proposed IoT roadmap is a design framework, not a validated protocol, and the optimal sensor suite, sampling frequency, and alert thresholds will vary by facility. Finally, environmental monitoring can identify associations, but it cannot, by itself, establish causality; only the factorial and crossover experiments in Phase III can do that. What the framework offers is a path from anecdotal reproducibility failures to quantifiable, auditable process control.</w:t>
      </w:r>
    </w:p>
    <w:p>
      <w:pPr>
        <w:spacing w:after="120" w:before="0" w:line="360" w:lineRule="auto"/>
        <w:jc w:val="both"/>
      </w:pPr>
      <w:r>
        <w:rPr>
          <w:sz w:val="22"/>
        </w:rPr>
        <w:t>A logical next step is a small consortium of laboratories that run an identical differentiation assay side-by-side with multi-parameter environmental sensors. Such a study could, within 12 to 18 months, produce the first facility-to-facility variance-partition estimates for temperature, humidity, VOCs, and light. Raw sensor logs, batch metadata, and analysis code should be shared under open licenses so that alert thresholds can be updated as evidence accumulates. Standardization bodies and funding agencies could accelerate adoption by defining minimum environmental metadata requirements for PSC publications. These pilots would also reveal whether existing laboratory quality-control practices already normalize environmental variation or merely mask it. Even negative findings would be valuable: a well-powered null result for a particular variable would tell the field that it can stop worrying about that parameter. Until such pilots are completed, the safest heuristic is to stop assuming that isogenic cells grown in different rooms, seasons, or buildings receive the same environmental exposure.</w:t>
      </w:r>
    </w:p>
    <w:p>
      <w:pPr>
        <w:pStyle w:val="Heading2"/>
      </w:pPr>
      <w:r>
        <w:rPr>
          <w:color w:val="000000"/>
        </w:rPr>
        <w:t>Declarations</w:t>
      </w:r>
    </w:p>
    <w:p>
      <w:pPr>
        <w:spacing w:after="60" w:before="0" w:line="276" w:lineRule="auto"/>
        <w:jc w:val="both"/>
      </w:pPr>
      <w:r>
        <w:rPr>
          <w:b/>
          <w:sz w:val="20"/>
        </w:rPr>
        <w:t xml:space="preserve">Ethics approval and consent to participate: </w:t>
      </w:r>
      <w:r>
        <w:rPr>
          <w:sz w:val="20"/>
        </w:rPr>
        <w:t>Not applicable. This Commentary does not report primary research involving human participants, human tissue, or animals.</w:t>
      </w:r>
    </w:p>
    <w:p>
      <w:pPr>
        <w:spacing w:after="60" w:before="0" w:line="276" w:lineRule="auto"/>
        <w:jc w:val="both"/>
      </w:pPr>
      <w:r>
        <w:rPr>
          <w:b/>
          <w:sz w:val="20"/>
        </w:rPr>
        <w:t xml:space="preserve">Consent for publication: </w:t>
      </w:r>
      <w:r>
        <w:rPr>
          <w:sz w:val="20"/>
        </w:rPr>
        <w:t>Not applicable.</w:t>
      </w:r>
    </w:p>
    <w:p>
      <w:pPr>
        <w:spacing w:after="60" w:before="0" w:line="276" w:lineRule="auto"/>
        <w:jc w:val="both"/>
      </w:pPr>
      <w:r>
        <w:rPr>
          <w:b/>
          <w:sz w:val="20"/>
        </w:rPr>
        <w:t xml:space="preserve">Availability of data and materials: </w:t>
      </w:r>
      <w:r>
        <w:rPr>
          <w:sz w:val="22"/>
        </w:rPr>
        <w:t>All retrospective GEO dataset metadata analyzed in this Commentary were downloaded from NCBI GEO</w:t>
      </w:r>
      <w:r>
        <w:rPr>
          <w:sz w:val="18"/>
          <w:vertAlign w:val="superscript"/>
        </w:rPr>
        <w:t>18</w:t>
      </w:r>
      <w:r>
        <w:rPr>
          <w:sz w:val="22"/>
        </w:rPr>
        <w:t xml:space="preserve"> using the Entrez E-utilities search interface with queries related to iPSC/ESC differentiation. Processed metadata and reproducibility code are archived in the public GitHub repository bougtoir/stem-cell-seasonality.</w:t>
      </w:r>
    </w:p>
    <w:p>
      <w:pPr>
        <w:spacing w:after="60" w:before="0" w:line="276" w:lineRule="auto"/>
        <w:jc w:val="both"/>
      </w:pPr>
      <w:r>
        <w:rPr>
          <w:b/>
          <w:sz w:val="20"/>
        </w:rPr>
        <w:t xml:space="preserve">Code availability: </w:t>
      </w:r>
      <w:r>
        <w:rPr>
          <w:sz w:val="22"/>
        </w:rPr>
        <w:t>Source code for downloading GEO metadata, performing the seasonal and solar analyses, generating figures and tables, and building this manuscript is available at https://github.com/bougtoir/stem-cell-seasonality.</w:t>
      </w:r>
    </w:p>
    <w:p>
      <w:pPr>
        <w:spacing w:after="60" w:before="0" w:line="276" w:lineRule="auto"/>
        <w:jc w:val="both"/>
      </w:pPr>
      <w:r>
        <w:rPr>
          <w:b/>
          <w:sz w:val="20"/>
        </w:rPr>
        <w:t xml:space="preserve">Competing interests: </w:t>
      </w:r>
      <w:r>
        <w:rPr>
          <w:sz w:val="20"/>
        </w:rPr>
        <w:t>The author declares no competing interests.</w:t>
      </w:r>
    </w:p>
    <w:p>
      <w:pPr>
        <w:spacing w:after="60" w:before="0" w:line="276" w:lineRule="auto"/>
        <w:jc w:val="both"/>
      </w:pPr>
      <w:r>
        <w:rPr>
          <w:b/>
          <w:sz w:val="20"/>
        </w:rPr>
        <w:t xml:space="preserve">Funding: </w:t>
      </w:r>
      <w:r>
        <w:rPr>
          <w:sz w:val="20"/>
        </w:rPr>
        <w:t>This work received no specific funding.</w:t>
      </w:r>
    </w:p>
    <w:p>
      <w:pPr>
        <w:spacing w:after="60" w:before="0" w:line="276" w:lineRule="auto"/>
        <w:jc w:val="both"/>
      </w:pPr>
      <w:r>
        <w:rPr>
          <w:b/>
          <w:sz w:val="20"/>
        </w:rPr>
        <w:t xml:space="preserve">Authors' contributions: </w:t>
      </w:r>
      <w:r>
        <w:rPr>
          <w:sz w:val="20"/>
        </w:rPr>
        <w:t>T.O. conceived the Commentary, designed the analyses, wrote the manuscript, and approved the final version.</w:t>
      </w:r>
    </w:p>
    <w:p>
      <w:pPr>
        <w:pStyle w:val="Heading2"/>
      </w:pPr>
      <w:r>
        <w:rPr>
          <w:color w:val="000000"/>
        </w:rPr>
        <w:t>References</w:t>
      </w:r>
    </w:p>
    <w:p>
      <w:pPr>
        <w:spacing w:after="60" w:before="0" w:line="276" w:lineRule="auto"/>
        <w:jc w:val="both"/>
      </w:pPr>
      <w:r>
        <w:rPr>
          <w:sz w:val="20"/>
        </w:rPr>
        <w:t>1. Kirkeby A, Main H, Carpenter M. Pluripotent stem-cell-derived therapies in clinical trial: a 2025 update. Cell Stem Cell. 2025;32(1):10-37.</w:t>
      </w:r>
    </w:p>
    <w:p>
      <w:pPr>
        <w:spacing w:after="60" w:before="0" w:line="276" w:lineRule="auto"/>
        <w:jc w:val="both"/>
      </w:pPr>
      <w:r>
        <w:rPr>
          <w:sz w:val="20"/>
        </w:rPr>
        <w:t>2. Yamanaka S. Pluripotent stem cell-based cell therapy-promise and challenges. Cell Stem Cell. 2020;27(4):523-531.</w:t>
      </w:r>
    </w:p>
    <w:p>
      <w:pPr>
        <w:spacing w:after="60" w:before="0" w:line="276" w:lineRule="auto"/>
        <w:jc w:val="both"/>
      </w:pPr>
      <w:r>
        <w:rPr>
          <w:sz w:val="20"/>
        </w:rPr>
        <w:t>3. Volpato V, Smith J, Sandor C, et al. Reproducibility of molecular phenotypes after long-term differentiation to human iPSC-derived neurons: a multi-site omics study. Stem Cell Reports. 2018;11(4):897-911.</w:t>
      </w:r>
    </w:p>
    <w:p>
      <w:pPr>
        <w:spacing w:after="60" w:before="0" w:line="276" w:lineRule="auto"/>
        <w:jc w:val="both"/>
      </w:pPr>
      <w:r>
        <w:rPr>
          <w:sz w:val="20"/>
        </w:rPr>
        <w:t>4. Volpato V, Webber C. Addressing variability in iPSC-derived models of human disease: guidelines to promote reproducibility. Dis Model Mech. 2020;13(1):dmm042317.</w:t>
      </w:r>
    </w:p>
    <w:p>
      <w:pPr>
        <w:spacing w:after="60" w:before="0" w:line="276" w:lineRule="auto"/>
        <w:jc w:val="both"/>
      </w:pPr>
      <w:r>
        <w:rPr>
          <w:sz w:val="20"/>
        </w:rPr>
        <w:t>5. Ortmann D, Vallier L. Variability of human pluripotent stem cell lines. Curr Opin Genet Dev. 2017;46:179-185.</w:t>
      </w:r>
    </w:p>
    <w:p>
      <w:pPr>
        <w:spacing w:after="60" w:before="0" w:line="276" w:lineRule="auto"/>
        <w:jc w:val="both"/>
      </w:pPr>
      <w:r>
        <w:rPr>
          <w:sz w:val="20"/>
        </w:rPr>
        <w:t>6. Panina Y, Yamane J, Kobayashi K, Sone H, Fujibuchi W. Human ES and iPS cells display less drug resistance than differentiated cells, and naive-state induction further decreases drug resistance. J Toxicol Sci. 2021;46(3):131-142.</w:t>
      </w:r>
    </w:p>
    <w:p>
      <w:pPr>
        <w:spacing w:after="60" w:before="0" w:line="276" w:lineRule="auto"/>
        <w:jc w:val="both"/>
      </w:pPr>
      <w:r>
        <w:rPr>
          <w:sz w:val="20"/>
        </w:rPr>
        <w:t>7. McCreery KP, Stubb A, Stephens R, et al. Mechano-osmotic signals control chromatin state and fate transitions in pluripotent stem cells. Nat Cell Biol. 2025;27(10):1757-1770.</w:t>
      </w:r>
    </w:p>
    <w:p>
      <w:pPr>
        <w:spacing w:after="60" w:before="0" w:line="276" w:lineRule="auto"/>
        <w:jc w:val="both"/>
      </w:pPr>
      <w:r>
        <w:rPr>
          <w:sz w:val="20"/>
        </w:rPr>
        <w:t>8. Chui JS-H, Izuel-Idoype T, Qualizza A, et al. Osmolar modulation drives reversible cell cycle exit and human pluripotent cell differentiation via NF-kappaB and WNT signaling. Adv Sci. 2024;11(7):2307554.</w:t>
      </w:r>
    </w:p>
    <w:p>
      <w:pPr>
        <w:spacing w:after="60" w:before="0" w:line="276" w:lineRule="auto"/>
        <w:jc w:val="both"/>
      </w:pPr>
      <w:r>
        <w:rPr>
          <w:sz w:val="20"/>
        </w:rPr>
        <w:t>9. Sato S, Hishida T, Kinouchi K, et al. The circadian clock CRY1 regulates pluripotent stem cell identity and somatic cell reprogramming. Cell Rep. 2023;42(6):112590.</w:t>
      </w:r>
    </w:p>
    <w:p>
      <w:pPr>
        <w:spacing w:after="60" w:before="0" w:line="276" w:lineRule="auto"/>
        <w:jc w:val="both"/>
      </w:pPr>
      <w:r>
        <w:rPr>
          <w:sz w:val="20"/>
        </w:rPr>
        <w:t>10. Ameneiro C, Moreira T, Fuentes-Iglesias A, et al. BMAL1 coordinates energy metabolism and differentiation of pluripotent stem cells. Life Sci Alliance. 2020;3(5):e201900534.</w:t>
      </w:r>
    </w:p>
    <w:p>
      <w:pPr>
        <w:spacing w:after="60" w:before="0" w:line="276" w:lineRule="auto"/>
        <w:jc w:val="both"/>
      </w:pPr>
      <w:r>
        <w:rPr>
          <w:sz w:val="20"/>
        </w:rPr>
        <w:t>11. Bi S, Tang J, Zhang L, et al. Fine particulate matter reduces the pluripotency and proliferation of human embryonic stem cells through ROS induced AKT and ERK signaling pathway. Reprod Toxicol. 2020;96:231-240.</w:t>
      </w:r>
    </w:p>
    <w:p>
      <w:pPr>
        <w:spacing w:after="60" w:before="0" w:line="276" w:lineRule="auto"/>
        <w:jc w:val="both"/>
      </w:pPr>
      <w:r>
        <w:rPr>
          <w:sz w:val="20"/>
        </w:rPr>
        <w:t>12. Cai J, Zhou L, Liu L, et al. Real-time monitoring reveals the effects of low concentrations of volatile organic compounds in the embryology laboratory. Hum Reprod. 2025;40(4):601-611.</w:t>
      </w:r>
    </w:p>
    <w:p>
      <w:pPr>
        <w:spacing w:after="60" w:before="0" w:line="276" w:lineRule="auto"/>
        <w:jc w:val="both"/>
      </w:pPr>
      <w:r>
        <w:rPr>
          <w:sz w:val="20"/>
        </w:rPr>
        <w:t>13. Agarwal N, Chattopadhyay R, Ghosh S, et al. Volatile organic compounds and good laboratory practices in the in vitro fertilization laboratory: the important parameters for successful outcome in extended culture. J Assist Reprod Genet. 2017;34(8):999-1006.</w:t>
      </w:r>
    </w:p>
    <w:p>
      <w:pPr>
        <w:spacing w:after="60" w:before="0" w:line="276" w:lineRule="auto"/>
        <w:jc w:val="both"/>
      </w:pPr>
      <w:r>
        <w:rPr>
          <w:sz w:val="20"/>
        </w:rPr>
        <w:t>14. Czyz J, Nikolova T, Schuderer J, et al. Non-thermal effects of power-line magnetic fields (50 Hz) on gene expression levels of pluripotent embryonic stem cells. Mutat Res. 2004;557(1):63-74.</w:t>
      </w:r>
    </w:p>
    <w:p>
      <w:pPr>
        <w:spacing w:after="60" w:before="0" w:line="276" w:lineRule="auto"/>
        <w:jc w:val="both"/>
      </w:pPr>
      <w:r>
        <w:rPr>
          <w:sz w:val="20"/>
        </w:rPr>
        <w:t>15. Diatroptova MA, Kosyreva AM, Diatroptov ME. About 4-day rhythm of proliferative activity of L-929 cells in culture correlates with the intensity of secondary cosmic radiation fluctuations. Bull Exp Biol Med. 2022;172(5):561-565.</w:t>
      </w:r>
    </w:p>
    <w:p>
      <w:pPr>
        <w:spacing w:after="60" w:before="0" w:line="276" w:lineRule="auto"/>
        <w:jc w:val="both"/>
      </w:pPr>
      <w:r>
        <w:rPr>
          <w:sz w:val="20"/>
        </w:rPr>
        <w:t>16. Mizuno M, Endo K, Katano H, et al. The environmental risk assessment of cell-processing facilities for cell therapy in a Japanese academic institution. PLoS One. 2020;15(8):e0236600.</w:t>
      </w:r>
    </w:p>
    <w:p>
      <w:pPr>
        <w:spacing w:after="60" w:before="0" w:line="276" w:lineRule="auto"/>
        <w:jc w:val="both"/>
      </w:pPr>
      <w:r>
        <w:rPr>
          <w:sz w:val="20"/>
        </w:rPr>
        <w:t>17. Klein SG, Steckbauer A, Alsolami SM, et al. Toward best practices for controlling mammalian cell culture environments. Front Cell Dev Biol. 2022;10:788808.</w:t>
      </w:r>
    </w:p>
    <w:p>
      <w:pPr>
        <w:spacing w:after="60" w:before="0" w:line="276" w:lineRule="auto"/>
        <w:jc w:val="both"/>
      </w:pPr>
      <w:r>
        <w:rPr>
          <w:sz w:val="20"/>
        </w:rPr>
        <w:t>18. Barrett T, Wilhite SE, Ledoux P, et al. NCBI GEO: archive for functional genomics data sets-update. Nucleic Acids Res. 2013;41(D):D991-D995.</w:t>
      </w:r>
    </w:p>
    <w:p>
      <w:r>
        <w:br w:type="page"/>
      </w:r>
    </w:p>
    <w:p>
      <w:pPr>
        <w:pStyle w:val="Heading2"/>
      </w:pPr>
      <w:r>
        <w:rPr>
          <w:color w:val="000000"/>
        </w:rPr>
        <w:t>Figure Legends</w:t>
      </w:r>
    </w:p>
    <w:p>
      <w:pPr>
        <w:spacing w:after="120" w:before="240" w:line="360" w:lineRule="auto"/>
        <w:jc w:val="both"/>
      </w:pPr>
    </w:p>
    <w:p>
      <w:r>
        <w:drawing>
          <wp:inline xmlns:a="http://schemas.openxmlformats.org/drawingml/2006/main" xmlns:pic="http://schemas.openxmlformats.org/drawingml/2006/picture">
            <wp:extent cx="5943600" cy="2609964"/>
            <wp:docPr id="1" name="Picture 1"/>
            <wp:cNvGraphicFramePr>
              <a:graphicFrameLocks noChangeAspect="1"/>
            </wp:cNvGraphicFramePr>
            <a:graphic>
              <a:graphicData uri="http://schemas.openxmlformats.org/drawingml/2006/picture">
                <pic:pic>
                  <pic:nvPicPr>
                    <pic:cNvPr id="0" name="SCRR_Figure1_Clonal_Environmental_Variance.png"/>
                    <pic:cNvPicPr/>
                  </pic:nvPicPr>
                  <pic:blipFill>
                    <a:blip r:embed="rId9"/>
                    <a:stretch>
                      <a:fillRect/>
                    </a:stretch>
                  </pic:blipFill>
                  <pic:spPr>
                    <a:xfrm>
                      <a:off x="0" y="0"/>
                      <a:ext cx="5943600" cy="2609964"/>
                    </a:xfrm>
                    <a:prstGeom prst="rect"/>
                  </pic:spPr>
                </pic:pic>
              </a:graphicData>
            </a:graphic>
          </wp:inline>
        </w:drawing>
      </w:r>
    </w:p>
    <w:p>
      <w:pPr>
        <w:spacing w:after="240" w:before="120" w:line="360" w:lineRule="auto"/>
        <w:jc w:val="both"/>
      </w:pPr>
      <w:r>
        <w:rPr>
          <w:b/>
          <w:sz w:val="20"/>
        </w:rPr>
        <w:t xml:space="preserve">Figure 1. </w:t>
      </w:r>
      <w:r>
        <w:rPr>
          <w:sz w:val="20"/>
        </w:rPr>
        <w:t>Conceptual model of the clonal complacency trap. (A) A clonal population has narrow genetic variance (green) but can still experience wide environmental variance (orange), especially in research laboratories that do not monitor environmental parameters. (B) Over time, unmonitored environmental drift can produce outcome variation comparable to-or larger than-genetic effects, even when all cells are isogenic.</w:t>
      </w:r>
    </w:p>
    <w:p>
      <w:r>
        <w:br w:type="page"/>
      </w:r>
    </w:p>
    <w:p>
      <w:pPr>
        <w:pStyle w:val="Heading2"/>
      </w:pPr>
      <w:r>
        <w:rPr>
          <w:color w:val="000000"/>
        </w:rPr>
        <w:t>Tables</w:t>
      </w:r>
    </w:p>
    <w:p>
      <w:pPr>
        <w:spacing w:after="120" w:before="240" w:line="360" w:lineRule="auto"/>
        <w:jc w:val="both"/>
      </w:pPr>
      <w:r>
        <w:rPr>
          <w:b/>
          <w:sz w:val="20"/>
        </w:rPr>
        <w:t xml:space="preserve">Table 1. </w:t>
      </w:r>
      <w:r>
        <w:rPr>
          <w:sz w:val="20"/>
        </w:rPr>
        <w:t>Environmental parameters in commercial GMP versus typical academic PSC research laboratories.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120" w:before="0" w:line="276" w:lineRule="auto"/>
              <w:jc w:val="both"/>
            </w:pPr>
            <w:r>
              <w:rPr>
                <w:b/>
                <w:sz w:val="20"/>
              </w:rPr>
              <w:t>Parameter</w:t>
            </w:r>
          </w:p>
        </w:tc>
        <w:tc>
          <w:tcPr>
            <w:tcW w:type="dxa" w:w="3120"/>
          </w:tcPr>
          <w:p>
            <w:pPr>
              <w:spacing w:after="120" w:before="0" w:line="276" w:lineRule="auto"/>
              <w:jc w:val="both"/>
            </w:pPr>
            <w:r>
              <w:rPr>
                <w:b/>
                <w:sz w:val="20"/>
              </w:rPr>
              <w:t>Commercial GMP status</w:t>
            </w:r>
          </w:p>
        </w:tc>
        <w:tc>
          <w:tcPr>
            <w:tcW w:type="dxa" w:w="3120"/>
          </w:tcPr>
          <w:p>
            <w:pPr>
              <w:spacing w:after="120" w:before="0" w:line="276" w:lineRule="auto"/>
              <w:jc w:val="both"/>
            </w:pPr>
            <w:r>
              <w:rPr>
                <w:b/>
                <w:sz w:val="20"/>
              </w:rPr>
              <w:t>Academic research lab status</w:t>
            </w:r>
          </w:p>
        </w:tc>
      </w:tr>
      <w:tr>
        <w:tc>
          <w:tcPr>
            <w:tcW w:type="dxa" w:w="3120"/>
          </w:tcPr>
          <w:p>
            <w:pPr>
              <w:spacing w:after="120" w:before="0" w:line="276" w:lineRule="auto"/>
              <w:jc w:val="both"/>
            </w:pPr>
            <w:r>
              <w:rPr>
                <w:b w:val="0"/>
                <w:sz w:val="20"/>
              </w:rPr>
              <w:t>Temperature</w:t>
            </w:r>
          </w:p>
        </w:tc>
        <w:tc>
          <w:tcPr>
            <w:tcW w:type="dxa" w:w="3120"/>
          </w:tcPr>
          <w:p>
            <w:pPr>
              <w:spacing w:after="120" w:before="0" w:line="276" w:lineRule="auto"/>
              <w:jc w:val="both"/>
            </w:pPr>
            <w:r>
              <w:rPr>
                <w:b w:val="0"/>
                <w:sz w:val="20"/>
              </w:rPr>
              <w:t>37C +/- 0.1C; validated and alarmed</w:t>
            </w:r>
          </w:p>
        </w:tc>
        <w:tc>
          <w:tcPr>
            <w:tcW w:type="dxa" w:w="3120"/>
          </w:tcPr>
          <w:p>
            <w:pPr>
              <w:spacing w:after="120" w:before="0" w:line="276" w:lineRule="auto"/>
              <w:jc w:val="both"/>
            </w:pPr>
            <w:r>
              <w:rPr>
                <w:b w:val="0"/>
                <w:sz w:val="20"/>
              </w:rPr>
              <w:t>37C +/- 0.5C; rarely logged continuously</w:t>
            </w:r>
          </w:p>
        </w:tc>
      </w:tr>
      <w:tr>
        <w:tc>
          <w:tcPr>
            <w:tcW w:type="dxa" w:w="3120"/>
          </w:tcPr>
          <w:p>
            <w:pPr>
              <w:spacing w:after="120" w:before="0" w:line="276" w:lineRule="auto"/>
              <w:jc w:val="both"/>
            </w:pPr>
            <w:r>
              <w:rPr>
                <w:b w:val="0"/>
                <w:sz w:val="20"/>
              </w:rPr>
              <w:t>CO2</w:t>
            </w:r>
          </w:p>
        </w:tc>
        <w:tc>
          <w:tcPr>
            <w:tcW w:type="dxa" w:w="3120"/>
          </w:tcPr>
          <w:p>
            <w:pPr>
              <w:spacing w:after="120" w:before="0" w:line="276" w:lineRule="auto"/>
              <w:jc w:val="both"/>
            </w:pPr>
            <w:r>
              <w:rPr>
                <w:b w:val="0"/>
                <w:sz w:val="20"/>
              </w:rPr>
              <w:t>5% +/- 0.1%; calibrated regularly</w:t>
            </w:r>
          </w:p>
        </w:tc>
        <w:tc>
          <w:tcPr>
            <w:tcW w:type="dxa" w:w="3120"/>
          </w:tcPr>
          <w:p>
            <w:pPr>
              <w:spacing w:after="120" w:before="0" w:line="276" w:lineRule="auto"/>
              <w:jc w:val="both"/>
            </w:pPr>
            <w:r>
              <w:rPr>
                <w:b w:val="0"/>
                <w:sz w:val="20"/>
              </w:rPr>
              <w:t>5% setpoint; calibration ad hoc</w:t>
            </w:r>
          </w:p>
        </w:tc>
      </w:tr>
      <w:tr>
        <w:tc>
          <w:tcPr>
            <w:tcW w:type="dxa" w:w="3120"/>
          </w:tcPr>
          <w:p>
            <w:pPr>
              <w:spacing w:after="120" w:before="0" w:line="276" w:lineRule="auto"/>
              <w:jc w:val="both"/>
            </w:pPr>
            <w:r>
              <w:rPr>
                <w:b w:val="0"/>
                <w:sz w:val="20"/>
              </w:rPr>
              <w:t>Humidity</w:t>
            </w:r>
          </w:p>
        </w:tc>
        <w:tc>
          <w:tcPr>
            <w:tcW w:type="dxa" w:w="3120"/>
          </w:tcPr>
          <w:p>
            <w:pPr>
              <w:spacing w:after="120" w:before="0" w:line="276" w:lineRule="auto"/>
              <w:jc w:val="both"/>
            </w:pPr>
            <w:r>
              <w:rPr>
                <w:b w:val="0"/>
                <w:sz w:val="20"/>
              </w:rPr>
              <w:t>Actively controlled and monitored</w:t>
            </w:r>
          </w:p>
        </w:tc>
        <w:tc>
          <w:tcPr>
            <w:tcW w:type="dxa" w:w="3120"/>
          </w:tcPr>
          <w:p>
            <w:pPr>
              <w:spacing w:after="120" w:before="0" w:line="276" w:lineRule="auto"/>
              <w:jc w:val="both"/>
            </w:pPr>
            <w:r>
              <w:rPr>
                <w:b w:val="0"/>
                <w:sz w:val="20"/>
              </w:rPr>
              <w:t>Seasonally coupled to outdoor air; rarely logged</w:t>
            </w:r>
          </w:p>
        </w:tc>
      </w:tr>
      <w:tr>
        <w:tc>
          <w:tcPr>
            <w:tcW w:type="dxa" w:w="3120"/>
          </w:tcPr>
          <w:p>
            <w:pPr>
              <w:spacing w:after="120" w:before="0" w:line="276" w:lineRule="auto"/>
              <w:jc w:val="both"/>
            </w:pPr>
            <w:r>
              <w:rPr>
                <w:b w:val="0"/>
                <w:sz w:val="20"/>
              </w:rPr>
              <w:t>VOCs</w:t>
            </w:r>
          </w:p>
        </w:tc>
        <w:tc>
          <w:tcPr>
            <w:tcW w:type="dxa" w:w="3120"/>
          </w:tcPr>
          <w:p>
            <w:pPr>
              <w:spacing w:after="120" w:before="0" w:line="276" w:lineRule="auto"/>
              <w:jc w:val="both"/>
            </w:pPr>
            <w:r>
              <w:rPr>
                <w:b w:val="0"/>
                <w:sz w:val="20"/>
              </w:rPr>
              <w:t>Carbon filtration; real-time monitoring in some facilities</w:t>
            </w:r>
          </w:p>
        </w:tc>
        <w:tc>
          <w:tcPr>
            <w:tcW w:type="dxa" w:w="3120"/>
          </w:tcPr>
          <w:p>
            <w:pPr>
              <w:spacing w:after="120" w:before="0" w:line="276" w:lineRule="auto"/>
              <w:jc w:val="both"/>
            </w:pPr>
            <w:r>
              <w:rPr>
                <w:b w:val="0"/>
                <w:sz w:val="20"/>
              </w:rPr>
              <w:t>Typically unmonitored</w:t>
            </w:r>
          </w:p>
        </w:tc>
      </w:tr>
      <w:tr>
        <w:tc>
          <w:tcPr>
            <w:tcW w:type="dxa" w:w="3120"/>
          </w:tcPr>
          <w:p>
            <w:pPr>
              <w:spacing w:after="120" w:before="0" w:line="276" w:lineRule="auto"/>
              <w:jc w:val="both"/>
            </w:pPr>
            <w:r>
              <w:rPr>
                <w:b w:val="0"/>
                <w:sz w:val="20"/>
              </w:rPr>
              <w:t>Ambient light</w:t>
            </w:r>
          </w:p>
        </w:tc>
        <w:tc>
          <w:tcPr>
            <w:tcW w:type="dxa" w:w="3120"/>
          </w:tcPr>
          <w:p>
            <w:pPr>
              <w:spacing w:after="120" w:before="0" w:line="276" w:lineRule="auto"/>
              <w:jc w:val="both"/>
            </w:pPr>
            <w:r>
              <w:rPr>
                <w:b w:val="0"/>
                <w:sz w:val="20"/>
              </w:rPr>
              <w:t>Controlled during processing</w:t>
            </w:r>
          </w:p>
        </w:tc>
        <w:tc>
          <w:tcPr>
            <w:tcW w:type="dxa" w:w="3120"/>
          </w:tcPr>
          <w:p>
            <w:pPr>
              <w:spacing w:after="120" w:before="0" w:line="276" w:lineRule="auto"/>
              <w:jc w:val="both"/>
            </w:pPr>
            <w:r>
              <w:rPr>
                <w:b w:val="0"/>
                <w:sz w:val="20"/>
              </w:rPr>
              <w:t>Variable by hood/incubator design</w:t>
            </w:r>
          </w:p>
        </w:tc>
      </w:tr>
      <w:tr>
        <w:tc>
          <w:tcPr>
            <w:tcW w:type="dxa" w:w="3120"/>
          </w:tcPr>
          <w:p>
            <w:pPr>
              <w:spacing w:after="120" w:before="0" w:line="276" w:lineRule="auto"/>
              <w:jc w:val="both"/>
            </w:pPr>
            <w:r>
              <w:rPr>
                <w:b w:val="0"/>
                <w:sz w:val="20"/>
              </w:rPr>
              <w:t>ELF-EMF</w:t>
            </w:r>
          </w:p>
        </w:tc>
        <w:tc>
          <w:tcPr>
            <w:tcW w:type="dxa" w:w="3120"/>
          </w:tcPr>
          <w:p>
            <w:pPr>
              <w:spacing w:after="120" w:before="0" w:line="276" w:lineRule="auto"/>
              <w:jc w:val="both"/>
            </w:pPr>
            <w:r>
              <w:rPr>
                <w:b w:val="0"/>
                <w:sz w:val="20"/>
              </w:rPr>
              <w:t>Shielded or characterized during qualification</w:t>
            </w:r>
          </w:p>
        </w:tc>
        <w:tc>
          <w:tcPr>
            <w:tcW w:type="dxa" w:w="3120"/>
          </w:tcPr>
          <w:p>
            <w:pPr>
              <w:spacing w:after="120" w:before="0" w:line="276" w:lineRule="auto"/>
              <w:jc w:val="both"/>
            </w:pPr>
            <w:r>
              <w:rPr>
                <w:b w:val="0"/>
                <w:sz w:val="20"/>
              </w:rPr>
              <w:t>Uncharacterized</w:t>
            </w:r>
          </w:p>
        </w:tc>
      </w:tr>
      <w:tr>
        <w:tc>
          <w:tcPr>
            <w:tcW w:type="dxa" w:w="3120"/>
          </w:tcPr>
          <w:p>
            <w:pPr>
              <w:spacing w:after="120" w:before="0" w:line="276" w:lineRule="auto"/>
              <w:jc w:val="both"/>
            </w:pPr>
            <w:r>
              <w:rPr>
                <w:b w:val="0"/>
                <w:sz w:val="20"/>
              </w:rPr>
              <w:t>Barometric pressure</w:t>
            </w:r>
          </w:p>
        </w:tc>
        <w:tc>
          <w:tcPr>
            <w:tcW w:type="dxa" w:w="3120"/>
          </w:tcPr>
          <w:p>
            <w:pPr>
              <w:spacing w:after="120" w:before="0" w:line="276" w:lineRule="auto"/>
              <w:jc w:val="both"/>
            </w:pPr>
            <w:r>
              <w:rPr>
                <w:b w:val="0"/>
                <w:sz w:val="20"/>
              </w:rPr>
              <w:t>Not typically controlled; logged in validated clean rooms</w:t>
            </w:r>
          </w:p>
        </w:tc>
        <w:tc>
          <w:tcPr>
            <w:tcW w:type="dxa" w:w="3120"/>
          </w:tcPr>
          <w:p>
            <w:pPr>
              <w:spacing w:after="120" w:before="0" w:line="276" w:lineRule="auto"/>
              <w:jc w:val="both"/>
            </w:pPr>
            <w:r>
              <w:rPr>
                <w:b w:val="0"/>
                <w:sz w:val="20"/>
              </w:rPr>
              <w:t>Not logged</w:t>
            </w:r>
          </w:p>
        </w:tc>
      </w:tr>
      <w:tr>
        <w:tc>
          <w:tcPr>
            <w:tcW w:type="dxa" w:w="3120"/>
          </w:tcPr>
          <w:p>
            <w:pPr>
              <w:spacing w:after="120" w:before="0" w:line="276" w:lineRule="auto"/>
              <w:jc w:val="both"/>
            </w:pPr>
            <w:r>
              <w:rPr>
                <w:b w:val="0"/>
                <w:sz w:val="20"/>
              </w:rPr>
              <w:t>Vibration</w:t>
            </w:r>
          </w:p>
        </w:tc>
        <w:tc>
          <w:tcPr>
            <w:tcW w:type="dxa" w:w="3120"/>
          </w:tcPr>
          <w:p>
            <w:pPr>
              <w:spacing w:after="120" w:before="0" w:line="276" w:lineRule="auto"/>
              <w:jc w:val="both"/>
            </w:pPr>
            <w:r>
              <w:rPr>
                <w:b w:val="0"/>
                <w:sz w:val="20"/>
              </w:rPr>
              <w:t>Isolated or characterized</w:t>
            </w:r>
          </w:p>
        </w:tc>
        <w:tc>
          <w:tcPr>
            <w:tcW w:type="dxa" w:w="3120"/>
          </w:tcPr>
          <w:p>
            <w:pPr>
              <w:spacing w:after="120" w:before="0" w:line="276" w:lineRule="auto"/>
              <w:jc w:val="both"/>
            </w:pPr>
            <w:r>
              <w:rPr>
                <w:b w:val="0"/>
                <w:sz w:val="20"/>
              </w:rPr>
              <w:t>Uncharacterized</w:t>
            </w:r>
          </w:p>
        </w:tc>
      </w:tr>
    </w:tbl>
    <w:p>
      <w:r>
        <w:br w:type="page"/>
      </w:r>
    </w:p>
    <w:p>
      <w:pPr>
        <w:spacing w:after="120" w:before="240" w:line="360" w:lineRule="auto"/>
        <w:jc w:val="both"/>
      </w:pPr>
      <w:r>
        <w:rPr>
          <w:b/>
          <w:sz w:val="20"/>
        </w:rPr>
        <w:t xml:space="preserve">Table 2. </w:t>
      </w:r>
      <w:r>
        <w:rPr>
          <w:sz w:val="20"/>
        </w:rPr>
        <w:t>Proposed IoT-enabled statistical roadmap for environmental profiling of PSC facilities.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120" w:before="0" w:line="276" w:lineRule="auto"/>
              <w:jc w:val="both"/>
            </w:pPr>
            <w:r>
              <w:rPr>
                <w:b/>
                <w:sz w:val="20"/>
              </w:rPr>
              <w:t>Phase</w:t>
            </w:r>
          </w:p>
        </w:tc>
        <w:tc>
          <w:tcPr>
            <w:tcW w:type="dxa" w:w="2340"/>
          </w:tcPr>
          <w:p>
            <w:pPr>
              <w:spacing w:after="120" w:before="0" w:line="276" w:lineRule="auto"/>
              <w:jc w:val="both"/>
            </w:pPr>
            <w:r>
              <w:rPr>
                <w:b/>
                <w:sz w:val="20"/>
              </w:rPr>
              <w:t xml:space="preserve"> Objective</w:t>
            </w:r>
          </w:p>
        </w:tc>
        <w:tc>
          <w:tcPr>
            <w:tcW w:type="dxa" w:w="2340"/>
          </w:tcPr>
          <w:p>
            <w:pPr>
              <w:spacing w:after="120" w:before="0" w:line="276" w:lineRule="auto"/>
              <w:jc w:val="both"/>
            </w:pPr>
            <w:r>
              <w:rPr>
                <w:b/>
                <w:sz w:val="20"/>
              </w:rPr>
              <w:t xml:space="preserve"> Statistical design</w:t>
            </w:r>
          </w:p>
        </w:tc>
        <w:tc>
          <w:tcPr>
            <w:tcW w:type="dxa" w:w="2340"/>
          </w:tcPr>
          <w:p>
            <w:pPr>
              <w:spacing w:after="120" w:before="0" w:line="276" w:lineRule="auto"/>
              <w:jc w:val="both"/>
            </w:pPr>
            <w:r>
              <w:rPr>
                <w:b/>
                <w:sz w:val="20"/>
              </w:rPr>
              <w:t xml:space="preserve"> Deliverable</w:t>
            </w:r>
          </w:p>
        </w:tc>
      </w:tr>
      <w:tr>
        <w:tc>
          <w:tcPr>
            <w:tcW w:type="dxa" w:w="2340"/>
          </w:tcPr>
          <w:p>
            <w:pPr>
              <w:spacing w:after="120" w:before="0" w:line="276" w:lineRule="auto"/>
              <w:jc w:val="both"/>
            </w:pPr>
            <w:r>
              <w:rPr>
                <w:b w:val="0"/>
                <w:sz w:val="20"/>
              </w:rPr>
              <w:t>I. Passive monitoring</w:t>
            </w:r>
          </w:p>
        </w:tc>
        <w:tc>
          <w:tcPr>
            <w:tcW w:type="dxa" w:w="2340"/>
          </w:tcPr>
          <w:p>
            <w:pPr>
              <w:spacing w:after="120" w:before="0" w:line="276" w:lineRule="auto"/>
              <w:jc w:val="both"/>
            </w:pPr>
            <w:r>
              <w:rPr>
                <w:b w:val="0"/>
                <w:sz w:val="20"/>
              </w:rPr>
              <w:t>Establish baseline multi-parameter environmental variance</w:t>
            </w:r>
          </w:p>
        </w:tc>
        <w:tc>
          <w:tcPr>
            <w:tcW w:type="dxa" w:w="2340"/>
          </w:tcPr>
          <w:p>
            <w:pPr>
              <w:spacing w:after="120" w:before="0" w:line="276" w:lineRule="auto"/>
              <w:jc w:val="both"/>
            </w:pPr>
            <w:r>
              <w:rPr>
                <w:b w:val="0"/>
                <w:sz w:val="20"/>
              </w:rPr>
              <w:t>Longitudinal mixed-effects models; seasonality decomposition; control-chart anomaly detection</w:t>
            </w:r>
          </w:p>
        </w:tc>
        <w:tc>
          <w:tcPr>
            <w:tcW w:type="dxa" w:w="2340"/>
          </w:tcPr>
          <w:p>
            <w:pPr>
              <w:spacing w:after="120" w:before="0" w:line="276" w:lineRule="auto"/>
              <w:jc w:val="both"/>
            </w:pPr>
            <w:r>
              <w:rPr>
                <w:b w:val="0"/>
                <w:sz w:val="20"/>
              </w:rPr>
              <w:t>Facility-specific variance budget per environmental parameter</w:t>
            </w:r>
          </w:p>
        </w:tc>
      </w:tr>
      <w:tr>
        <w:tc>
          <w:tcPr>
            <w:tcW w:type="dxa" w:w="2340"/>
          </w:tcPr>
          <w:p>
            <w:pPr>
              <w:spacing w:after="120" w:before="0" w:line="276" w:lineRule="auto"/>
              <w:jc w:val="both"/>
            </w:pPr>
            <w:r>
              <w:rPr>
                <w:b w:val="0"/>
                <w:sz w:val="20"/>
              </w:rPr>
              <w:t>II. Retrospective crosswalk</w:t>
            </w:r>
          </w:p>
        </w:tc>
        <w:tc>
          <w:tcPr>
            <w:tcW w:type="dxa" w:w="2340"/>
          </w:tcPr>
          <w:p>
            <w:pPr>
              <w:spacing w:after="120" w:before="0" w:line="276" w:lineRule="auto"/>
              <w:jc w:val="both"/>
            </w:pPr>
            <w:r>
              <w:rPr>
                <w:b w:val="0"/>
                <w:sz w:val="20"/>
              </w:rPr>
              <w:t>Identify candidate variables that correlate with historical batch outcomes</w:t>
            </w:r>
          </w:p>
        </w:tc>
        <w:tc>
          <w:tcPr>
            <w:tcW w:type="dxa" w:w="2340"/>
          </w:tcPr>
          <w:p>
            <w:pPr>
              <w:spacing w:after="120" w:before="0" w:line="276" w:lineRule="auto"/>
              <w:jc w:val="both"/>
            </w:pPr>
            <w:r>
              <w:rPr>
                <w:b w:val="0"/>
                <w:sz w:val="20"/>
              </w:rPr>
              <w:t>Time-lagged regression with cross-validation; false-discovery rate control; sensitivity analyses for reagent lot and operator</w:t>
            </w:r>
          </w:p>
        </w:tc>
        <w:tc>
          <w:tcPr>
            <w:tcW w:type="dxa" w:w="2340"/>
          </w:tcPr>
          <w:p>
            <w:pPr>
              <w:spacing w:after="120" w:before="0" w:line="276" w:lineRule="auto"/>
              <w:jc w:val="both"/>
            </w:pPr>
            <w:r>
              <w:rPr>
                <w:b w:val="0"/>
                <w:sz w:val="20"/>
              </w:rPr>
              <w:t xml:space="preserve"> ranked list of candidate variables</w:t>
            </w:r>
          </w:p>
        </w:tc>
      </w:tr>
      <w:tr>
        <w:tc>
          <w:tcPr>
            <w:tcW w:type="dxa" w:w="2340"/>
          </w:tcPr>
          <w:p>
            <w:pPr>
              <w:spacing w:after="120" w:before="0" w:line="276" w:lineRule="auto"/>
              <w:jc w:val="both"/>
            </w:pPr>
            <w:r>
              <w:rPr>
                <w:b w:val="0"/>
                <w:sz w:val="20"/>
              </w:rPr>
              <w:t>III. Controlled perturbation</w:t>
            </w:r>
          </w:p>
        </w:tc>
        <w:tc>
          <w:tcPr>
            <w:tcW w:type="dxa" w:w="2340"/>
          </w:tcPr>
          <w:p>
            <w:pPr>
              <w:spacing w:after="120" w:before="0" w:line="276" w:lineRule="auto"/>
              <w:jc w:val="both"/>
            </w:pPr>
            <w:r>
              <w:rPr>
                <w:b w:val="0"/>
                <w:sz w:val="20"/>
              </w:rPr>
              <w:t>Causally test high-priority variables</w:t>
            </w:r>
          </w:p>
        </w:tc>
        <w:tc>
          <w:tcPr>
            <w:tcW w:type="dxa" w:w="2340"/>
          </w:tcPr>
          <w:p>
            <w:pPr>
              <w:spacing w:after="120" w:before="0" w:line="276" w:lineRule="auto"/>
              <w:jc w:val="both"/>
            </w:pPr>
            <w:r>
              <w:rPr>
                <w:b w:val="0"/>
                <w:sz w:val="20"/>
              </w:rPr>
              <w:t>Blocked factorial or crossover designs; mixed models with random laboratory effect; equivalence testing for negative findings</w:t>
            </w:r>
          </w:p>
        </w:tc>
        <w:tc>
          <w:tcPr>
            <w:tcW w:type="dxa" w:w="2340"/>
          </w:tcPr>
          <w:p>
            <w:pPr>
              <w:spacing w:after="120" w:before="0" w:line="276" w:lineRule="auto"/>
              <w:jc w:val="both"/>
            </w:pPr>
            <w:r>
              <w:rPr>
                <w:b w:val="0"/>
                <w:sz w:val="20"/>
              </w:rPr>
              <w:t>Effect-size estimates and 95% confidence intervals</w:t>
            </w:r>
          </w:p>
        </w:tc>
      </w:tr>
      <w:tr>
        <w:tc>
          <w:tcPr>
            <w:tcW w:type="dxa" w:w="2340"/>
          </w:tcPr>
          <w:p>
            <w:pPr>
              <w:spacing w:after="120" w:before="0" w:line="276" w:lineRule="auto"/>
              <w:jc w:val="both"/>
            </w:pPr>
            <w:r>
              <w:rPr>
                <w:b w:val="0"/>
                <w:sz w:val="20"/>
              </w:rPr>
              <w:t>IV. Standardization</w:t>
            </w:r>
          </w:p>
        </w:tc>
        <w:tc>
          <w:tcPr>
            <w:tcW w:type="dxa" w:w="2340"/>
          </w:tcPr>
          <w:p>
            <w:pPr>
              <w:spacing w:after="120" w:before="0" w:line="276" w:lineRule="auto"/>
              <w:jc w:val="both"/>
            </w:pPr>
            <w:r>
              <w:rPr>
                <w:b w:val="0"/>
                <w:sz w:val="20"/>
              </w:rPr>
              <w:t>Deploy validated monitoring protocol across sites</w:t>
            </w:r>
          </w:p>
        </w:tc>
        <w:tc>
          <w:tcPr>
            <w:tcW w:type="dxa" w:w="2340"/>
          </w:tcPr>
          <w:p>
            <w:pPr>
              <w:spacing w:after="120" w:before="0" w:line="276" w:lineRule="auto"/>
              <w:jc w:val="both"/>
            </w:pPr>
            <w:r>
              <w:rPr>
                <w:b w:val="0"/>
                <w:sz w:val="20"/>
              </w:rPr>
              <w:t>Multi-center measurement-system analysis; Bland-Altman agreement; generalized linear mixed models for outcomes</w:t>
            </w:r>
          </w:p>
        </w:tc>
        <w:tc>
          <w:tcPr>
            <w:tcW w:type="dxa" w:w="2340"/>
          </w:tcPr>
          <w:p>
            <w:pPr>
              <w:spacing w:after="120" w:before="0" w:line="276" w:lineRule="auto"/>
              <w:jc w:val="both"/>
            </w:pPr>
            <w:r>
              <w:rPr>
                <w:b w:val="0"/>
                <w:sz w:val="20"/>
              </w:rPr>
              <w:t>Standard operating procedure and quality-control thresholds</w:t>
            </w:r>
          </w:p>
        </w:tc>
      </w:tr>
      <w:tr>
        <w:tc>
          <w:tcPr>
            <w:tcW w:type="dxa" w:w="2340"/>
          </w:tcPr>
          <w:p>
            <w:pPr>
              <w:spacing w:after="120" w:before="0" w:line="276" w:lineRule="auto"/>
              <w:jc w:val="both"/>
            </w:pPr>
            <w:r>
              <w:rPr>
                <w:b w:val="0"/>
                <w:sz w:val="20"/>
              </w:rPr>
              <w:t>V. Continuous audit</w:t>
            </w:r>
          </w:p>
        </w:tc>
        <w:tc>
          <w:tcPr>
            <w:tcW w:type="dxa" w:w="2340"/>
          </w:tcPr>
          <w:p>
            <w:pPr>
              <w:spacing w:after="120" w:before="0" w:line="276" w:lineRule="auto"/>
              <w:jc w:val="both"/>
            </w:pPr>
            <w:r>
              <w:rPr>
                <w:b w:val="0"/>
                <w:sz w:val="20"/>
              </w:rPr>
              <w:t>Maintain reproducibility over time</w:t>
            </w:r>
          </w:p>
        </w:tc>
        <w:tc>
          <w:tcPr>
            <w:tcW w:type="dxa" w:w="2340"/>
          </w:tcPr>
          <w:p>
            <w:pPr>
              <w:spacing w:after="120" w:before="0" w:line="276" w:lineRule="auto"/>
              <w:jc w:val="both"/>
            </w:pPr>
            <w:r>
              <w:rPr>
                <w:b w:val="0"/>
                <w:sz w:val="20"/>
              </w:rPr>
              <w:t>Automated control charts; change-point detection; periodic audit against reference standards</w:t>
            </w:r>
          </w:p>
        </w:tc>
        <w:tc>
          <w:tcPr>
            <w:tcW w:type="dxa" w:w="2340"/>
          </w:tcPr>
          <w:p>
            <w:pPr>
              <w:spacing w:after="120" w:before="0" w:line="276" w:lineRule="auto"/>
              <w:jc w:val="both"/>
            </w:pPr>
            <w:r>
              <w:rPr>
                <w:b w:val="0"/>
                <w:sz w:val="20"/>
              </w:rPr>
              <w:t>Annual reproducibility report and corrective-action log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