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sz w:val="24"/>
        </w:rPr>
        <w:t>[Date]</w:t>
      </w:r>
    </w:p>
    <w:p>
      <w:r>
        <w:rPr>
          <w:rFonts w:ascii="Times New Roman" w:hAnsi="Times New Roman"/>
          <w:b w:val="0"/>
          <w:sz w:val="24"/>
        </w:rPr>
      </w:r>
    </w:p>
    <w:p>
      <w:r>
        <w:rPr>
          <w:rFonts w:ascii="Times New Roman" w:hAnsi="Times New Roman"/>
          <w:b w:val="0"/>
          <w:sz w:val="24"/>
        </w:rPr>
        <w:t>To the Editor-in-Chief</w:t>
      </w:r>
    </w:p>
    <w:p>
      <w:r>
        <w:rPr>
          <w:rFonts w:ascii="Times New Roman" w:hAnsi="Times New Roman"/>
          <w:b/>
          <w:sz w:val="24"/>
        </w:rPr>
        <w:t>IEEE Transactions on Instrumentation and Measurement</w:t>
      </w:r>
    </w:p>
    <w:p>
      <w:r>
        <w:rPr>
          <w:rFonts w:ascii="Times New Roman" w:hAnsi="Times New Roman"/>
          <w:b w:val="0"/>
          <w:sz w:val="24"/>
        </w:rPr>
      </w:r>
    </w:p>
    <w:p>
      <w:r>
        <w:rPr>
          <w:rFonts w:ascii="Times New Roman" w:hAnsi="Times New Roman"/>
          <w:b w:val="0"/>
          <w:sz w:val="24"/>
        </w:rPr>
        <w:t>Dear Editor,</w:t>
      </w:r>
    </w:p>
    <w:p>
      <w:r>
        <w:rPr>
          <w:rFonts w:ascii="Times New Roman" w:hAnsi="Times New Roman"/>
          <w:b w:val="0"/>
          <w:sz w:val="24"/>
        </w:rPr>
        <w:t>We are pleased to submit our original article, “What zeroing cannot fix: detecting residual gain and dynamic-response errors after zero calibration in invasive arterial pressure monitoring,” for consideration for publication in IEEE Transactions on Instrumentation and Measurement.</w:t>
      </w:r>
    </w:p>
    <w:p>
      <w:r>
        <w:rPr>
          <w:rFonts w:ascii="Times New Roman" w:hAnsi="Times New Roman"/>
          <w:b w:val="0"/>
          <w:sz w:val="24"/>
        </w:rPr>
        <w:t>Zero calibration of a fluid-filled arterial pressure transducer removes the direct-current (DC) offset but cannot correct the transducer gain (sensitivity) or the frequency-dependent damping of the catheter-sensor system. We use a fully reproducible simulation, augmented with public intra-operative waveforms from the VitalDB Open Dataset, to show which statistical diagnostics actually detect a residual gain error after zeroing. Our key message is a critique of common reporting practice, not of the Bland–Altman method itself: a minimal summary of mean bias and limits of agreement can miss a clinically relevant gain error when a compensating offset cancels its effect on the mean, whereas the Bland–Altman regression of difference on mean, Deming and Passing–Bablok regression, and the scale-shift component (v) of Lin’s concordance correlation coefficient all detect it.</w:t>
      </w:r>
    </w:p>
    <w:p>
      <w:r>
        <w:rPr>
          <w:rFonts w:ascii="Times New Roman" w:hAnsi="Times New Roman"/>
          <w:b w:val="0"/>
          <w:sz w:val="24"/>
        </w:rPr>
        <w:t>We further integrate the dynamic-response (damping) error as a distinct, frequency-dependent gain error diagnosed by the fast-flush test, and we show that the concordance correlation coefficient is range-dependent. Because the paper is framed around measurement validity, sensor gain, uncertainty propagation and a concrete design target (v ≈ 1 without calibration) for next-generation self-calibrating pressure sensors, it is well suited to the instrumentation-and-measurement readership of IEEE TIM.</w:t>
      </w:r>
    </w:p>
    <w:p>
      <w:r>
        <w:rPr>
          <w:rFonts w:ascii="Times New Roman" w:hAnsi="Times New Roman"/>
          <w:b w:val="0"/>
          <w:sz w:val="24"/>
        </w:rPr>
        <w:t>We submit the manuscript as an Original Article. It contains 7 inline figures and 3 inline tables, a structured abstract within the 150-250 word guideline, and a main text of approximately 3,700 words. All figures, tables, and numerical values are generated directly from the analysis pipeline so that every result can be regenerated from the public data and the supplementary code. As disclosed in the Methods, the simulation and analysis code, the figures, and drafts of the text were prepared with the assistance of an AI coding assistant (Devin; Cognition AI); the authors verified all code, results and statements and take full responsibility for the work.</w:t>
      </w:r>
    </w:p>
    <w:p>
      <w:r>
        <w:rPr>
          <w:rFonts w:ascii="Times New Roman" w:hAnsi="Times New Roman"/>
          <w:b w:val="0"/>
          <w:sz w:val="24"/>
        </w:rPr>
        <w:t>This is a simulation and secondary-data-validation study; the synthetic data are described as such and the real waveforms come from the publicly available VitalDB Open Dataset. The manuscript is original, has not been published previously, and is not under consideration elsewhere. All authors have approved the submission and declare no conflicts of interest relevant to this work. We have no preferred or excluded reviewers to suggest, but are happy to provide names on request.</w:t>
      </w:r>
    </w:p>
    <w:p>
      <w:r>
        <w:rPr>
          <w:rFonts w:ascii="Times New Roman" w:hAnsi="Times New Roman"/>
          <w:b w:val="0"/>
          <w:sz w:val="24"/>
        </w:rPr>
        <w:t>Thank you for considering our submission. We look forward to your response.</w:t>
      </w:r>
    </w:p>
    <w:p>
      <w:r>
        <w:rPr>
          <w:rFonts w:ascii="Times New Roman" w:hAnsi="Times New Roman"/>
          <w:b w:val="0"/>
          <w:sz w:val="24"/>
        </w:rPr>
      </w:r>
    </w:p>
    <w:p>
      <w:r>
        <w:rPr>
          <w:rFonts w:ascii="Times New Roman" w:hAnsi="Times New Roman"/>
          <w:b w:val="0"/>
          <w:sz w:val="24"/>
        </w:rPr>
        <w:t>Sincerely,</w:t>
      </w:r>
    </w:p>
    <w:p>
      <w:r>
        <w:rPr>
          <w:rFonts w:ascii="Times New Roman" w:hAnsi="Times New Roman"/>
          <w:b w:val="0"/>
          <w:sz w:val="24"/>
        </w:rPr>
      </w:r>
    </w:p>
    <w:p>
      <w:r>
        <w:rPr>
          <w:rFonts w:ascii="Times New Roman" w:hAnsi="Times New Roman"/>
          <w:b w:val="0"/>
          <w:sz w:val="24"/>
        </w:rPr>
        <w:t>[Corresponding author name, degrees]</w:t>
      </w:r>
    </w:p>
    <w:p>
      <w:r>
        <w:rPr>
          <w:rFonts w:ascii="Times New Roman" w:hAnsi="Times New Roman"/>
          <w:b w:val="0"/>
          <w:sz w:val="24"/>
        </w:rPr>
        <w:t>[Affiliation]</w:t>
      </w:r>
    </w:p>
    <w:p>
      <w:r>
        <w:rPr>
          <w:rFonts w:ascii="Times New Roman" w:hAnsi="Times New Roman"/>
          <w:b w:val="0"/>
          <w:sz w:val="24"/>
        </w:rP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