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Feasibility and Historical Evidence Audit</w:t>
      </w:r>
    </w:p>
    <w:p>
      <w:r>
        <w:t>Agricultural Innovation and Peasant Dependence in Medieval Western Europe: Was Rice Cultivation Politically Suppressed?</w:t>
      </w:r>
    </w:p>
    <w:p>
      <w:r>
        <w:t>Audit date: 2026-10-25 (UTC). Evidence-first investigation; hypothesis not presumed.</w:t>
      </w:r>
    </w:p>
    <w:p>
      <w:pPr>
        <w:pStyle w:val="Heading1"/>
      </w:pPr>
      <w:r>
        <w:t>Phase 0 — Research freeze</w:t>
      </w:r>
    </w:p>
    <w:p>
      <w:r>
        <w:t>Frozen question: did medieval Western European rulers or landlords deliberately discourage adoption of more productive crops — specifically rice — to preserve peasant dependence? Scope: AD 1000–1300; England, northern France, German-speaking territories, Iberian Peninsula (Renaissance Italy excluded from primary analysis, used only as later comparison). Registered hypotheses: H1 feasibility, H2 knowledge availability, H3 political restriction, H4 dependence motive, H5 institutional variation — tested separately, never collapsed. Admissible evidence: primary documents, archaeobotanical data, and clearly labeled scholarly editions; forged material excluded when detected. Falsification criteria: absence of any suppression document across high-survival corpora + documented promotion of the same crop + negative controls (other innovations encouraged under strong coercion). Source-verification protocol: every claim traceable to an identifier in PRIMARY_SOURCE_REGISTRY.csv; no fabricated quotations or references.</w:t>
      </w:r>
    </w:p>
    <w:p>
      <w:pPr>
        <w:pStyle w:val="Heading1"/>
      </w:pPr>
      <w:r>
        <w:t>Phase 1 — Rice knowledge audit (K0–K4)</w:t>
      </w:r>
    </w:p>
    <w:p>
      <w:r>
        <w:t>North of the Alps, knowledge never exceeded K1: rice was an imported luxury and medicinal commodity (Roman hospital grain finds at Neuss and Mainz; Hanseatic trade from ca. 1300; Tacuinum sanitatis; elite cookbooks). Practical K3 knowledge existed only inside Arabic-language Andalusi agronomy — the Filāḥa corpus (Ibn Bassal through Ibn al-Awwam, ca. 1180) — none of it translated into Latin during the Middle Ages (first modern translation: Banqueri, 1802). The Arabic–Latin transmission barrier is itself a documented finding: rulers in England, France and Germany could not have chosen a crop whose cultivation method they had no text for. See RICE_KNOWLEDGE_TIMELINE.csv.</w:t>
      </w:r>
    </w:p>
    <w:p>
      <w:pPr>
        <w:pStyle w:val="Heading1"/>
      </w:pPr>
      <w:r>
        <w:t>Phase 2 — Cultivation and non-adoption</w:t>
      </w:r>
    </w:p>
    <w:p>
      <w:r>
        <w:t>Documented pre-1300 cultivation: al-Andalus (irrigated, 9th c. onward, luxury crop) and Valencia under Christian rule (continuity and expansion under James I's reparto and Furs, 1238–1242). The claimed early Sicilian cultivation rests on Giuseppe Vella's forged 9th-century rescript — excluded; the authentic 12th-century record (Falcando) lists oranges, sugar cane and melons in the Palermo plain and no rice. England, northern France, the German territories: no cultivation, no suppression documents — non-adoption classes B/C. See CULTIVATION_EVIDENCE.csv.</w:t>
      </w:r>
    </w:p>
    <w:p>
      <w:pPr>
        <w:pStyle w:val="Heading1"/>
      </w:pPr>
      <w:r>
        <w:t>Phase 3 — Productivity comparison</w:t>
      </w:r>
    </w:p>
    <w:p>
      <w:r>
        <w:t>Medieval cereal data (Titow, Slicher van Bath) vs bounded rice estimates; computed programmatically (scripts/productivity_comparison.py, outputs in MEDIEVAL_PRODUCTIVITY_COMPARISON.csv). Medieval rice yields are undocumented; modern figures are used only as feasibility bounds. Climate check: grain formation needs ~20 °C+ mean; July means — England ~16.5 °C, N. France ~18.5 °C, Germany ~18 °C, Iberian huerta ~25.5 °C, Mediterranean coast ~24.5 °C. Rice was thermally infeasible-to-marginal everywhere it was not grown.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crop</w:t>
            </w:r>
          </w:p>
        </w:tc>
        <w:tc>
          <w:tcPr>
            <w:tcW w:type="dxa" w:w="2160"/>
          </w:tcPr>
          <w:p>
            <w:r>
              <w:t>seed ratio</w:t>
            </w:r>
          </w:p>
        </w:tc>
        <w:tc>
          <w:tcPr>
            <w:tcW w:type="dxa" w:w="2160"/>
          </w:tcPr>
          <w:p>
            <w:r>
              <w:t>net kg/ha</w:t>
            </w:r>
          </w:p>
        </w:tc>
        <w:tc>
          <w:tcPr>
            <w:tcW w:type="dxa" w:w="2160"/>
          </w:tcPr>
          <w:p>
            <w:r>
              <w:t>basis</w:t>
            </w:r>
          </w:p>
        </w:tc>
      </w:tr>
      <w:tr>
        <w:tc>
          <w:tcPr>
            <w:tcW w:type="dxa" w:w="2160"/>
          </w:tcPr>
          <w:p>
            <w:r>
              <w:t>wheat</w:t>
            </w:r>
          </w:p>
        </w:tc>
        <w:tc>
          <w:tcPr>
            <w:tcW w:type="dxa" w:w="2160"/>
          </w:tcPr>
          <w:p>
            <w:r>
              <w:t>3.0–4.5x</w:t>
            </w:r>
          </w:p>
        </w:tc>
        <w:tc>
          <w:tcPr>
            <w:tcW w:type="dxa" w:w="2160"/>
          </w:tcPr>
          <w:p>
            <w:r>
              <w:t>500–900</w:t>
            </w:r>
          </w:p>
        </w:tc>
        <w:tc>
          <w:tcPr>
            <w:tcW w:type="dxa" w:w="2160"/>
          </w:tcPr>
          <w:p>
            <w:r>
              <w:t>medieval documented</w:t>
            </w:r>
          </w:p>
        </w:tc>
      </w:tr>
      <w:tr>
        <w:tc>
          <w:tcPr>
            <w:tcW w:type="dxa" w:w="2160"/>
          </w:tcPr>
          <w:p>
            <w:r>
              <w:t>rye</w:t>
            </w:r>
          </w:p>
        </w:tc>
        <w:tc>
          <w:tcPr>
            <w:tcW w:type="dxa" w:w="2160"/>
          </w:tcPr>
          <w:p>
            <w:r>
              <w:t>3.0–5.0x</w:t>
            </w:r>
          </w:p>
        </w:tc>
        <w:tc>
          <w:tcPr>
            <w:tcW w:type="dxa" w:w="2160"/>
          </w:tcPr>
          <w:p>
            <w:r>
              <w:t>450–850</w:t>
            </w:r>
          </w:p>
        </w:tc>
        <w:tc>
          <w:tcPr>
            <w:tcW w:type="dxa" w:w="2160"/>
          </w:tcPr>
          <w:p>
            <w:r>
              <w:t>medieval documented</w:t>
            </w:r>
          </w:p>
        </w:tc>
      </w:tr>
      <w:tr>
        <w:tc>
          <w:tcPr>
            <w:tcW w:type="dxa" w:w="2160"/>
          </w:tcPr>
          <w:p>
            <w:r>
              <w:t>barley</w:t>
            </w:r>
          </w:p>
        </w:tc>
        <w:tc>
          <w:tcPr>
            <w:tcW w:type="dxa" w:w="2160"/>
          </w:tcPr>
          <w:p>
            <w:r>
              <w:t>3.5–6.0x</w:t>
            </w:r>
          </w:p>
        </w:tc>
        <w:tc>
          <w:tcPr>
            <w:tcW w:type="dxa" w:w="2160"/>
          </w:tcPr>
          <w:p>
            <w:r>
              <w:t>500–1000</w:t>
            </w:r>
          </w:p>
        </w:tc>
        <w:tc>
          <w:tcPr>
            <w:tcW w:type="dxa" w:w="2160"/>
          </w:tcPr>
          <w:p>
            <w:r>
              <w:t>medieval documented</w:t>
            </w:r>
          </w:p>
        </w:tc>
      </w:tr>
      <w:tr>
        <w:tc>
          <w:tcPr>
            <w:tcW w:type="dxa" w:w="2160"/>
          </w:tcPr>
          <w:p>
            <w:r>
              <w:t>oats</w:t>
            </w:r>
          </w:p>
        </w:tc>
        <w:tc>
          <w:tcPr>
            <w:tcW w:type="dxa" w:w="2160"/>
          </w:tcPr>
          <w:p>
            <w:r>
              <w:t>2.0–3.0x</w:t>
            </w:r>
          </w:p>
        </w:tc>
        <w:tc>
          <w:tcPr>
            <w:tcW w:type="dxa" w:w="2160"/>
          </w:tcPr>
          <w:p>
            <w:r>
              <w:t>350–700</w:t>
            </w:r>
          </w:p>
        </w:tc>
        <w:tc>
          <w:tcPr>
            <w:tcW w:type="dxa" w:w="2160"/>
          </w:tcPr>
          <w:p>
            <w:r>
              <w:t>medieval documented</w:t>
            </w:r>
          </w:p>
        </w:tc>
      </w:tr>
      <w:tr>
        <w:tc>
          <w:tcPr>
            <w:tcW w:type="dxa" w:w="2160"/>
          </w:tcPr>
          <w:p>
            <w:r>
              <w:t>rice_irrigated_bounded</w:t>
            </w:r>
          </w:p>
        </w:tc>
        <w:tc>
          <w:tcPr>
            <w:tcW w:type="dxa" w:w="2160"/>
          </w:tcPr>
          <w:p>
            <w:r>
              <w:t>15.0–40.0x</w:t>
            </w:r>
          </w:p>
        </w:tc>
        <w:tc>
          <w:tcPr>
            <w:tcW w:type="dxa" w:w="2160"/>
          </w:tcPr>
          <w:p>
            <w:r>
              <w:t>1000–2000</w:t>
            </w:r>
          </w:p>
        </w:tc>
        <w:tc>
          <w:tcPr>
            <w:tcW w:type="dxa" w:w="2160"/>
          </w:tcPr>
          <w:p>
            <w:r>
              <w:t>MODERN UPPER BOUND (feasibility only)</w:t>
            </w:r>
          </w:p>
        </w:tc>
      </w:tr>
      <w:tr>
        <w:tc>
          <w:tcPr>
            <w:tcW w:type="dxa" w:w="2160"/>
          </w:tcPr>
          <w:p>
            <w:r>
              <w:t>rice_upland_bounded</w:t>
            </w:r>
          </w:p>
        </w:tc>
        <w:tc>
          <w:tcPr>
            <w:tcW w:type="dxa" w:w="2160"/>
          </w:tcPr>
          <w:p>
            <w:r>
              <w:t>8.0–20.0x</w:t>
            </w:r>
          </w:p>
        </w:tc>
        <w:tc>
          <w:tcPr>
            <w:tcW w:type="dxa" w:w="2160"/>
          </w:tcPr>
          <w:p>
            <w:r>
              <w:t>500–1200</w:t>
            </w:r>
          </w:p>
        </w:tc>
        <w:tc>
          <w:tcPr>
            <w:tcW w:type="dxa" w:w="2160"/>
          </w:tcPr>
          <w:p>
            <w:r>
              <w:t>MODERN UPPER BOUND (feasibility only)</w:t>
            </w:r>
          </w:p>
        </w:tc>
      </w:tr>
    </w:tbl>
    <w:p>
      <w:pPr>
        <w:pStyle w:val="Heading1"/>
      </w:pPr>
      <w:r>
        <w:t>Phases 4–5 — Hypotheses and political intent</w:t>
      </w:r>
    </w:p>
    <w:p>
      <w:pPr>
        <w:pStyle w:val="ListBullet"/>
      </w:pPr>
      <w:r>
        <w:t>H1 — Partially supported: feasible only on the Mediterranean/irrigated fringe — the same fringe where adoption actually occurred.</w:t>
      </w:r>
    </w:p>
    <w:p>
      <w:pPr>
        <w:pStyle w:val="ListBullet"/>
      </w:pPr>
      <w:r>
        <w:t>H2 — Supported weakly: K1–K2 knowledge widespread; practical K3 confined to Arabic agronomy and never transmitted to Latin decision-makers.</w:t>
      </w:r>
    </w:p>
    <w:p>
      <w:pPr>
        <w:pStyle w:val="ListBullet"/>
      </w:pPr>
      <w:r>
        <w:t>H3 — Qualified: restriction IS documented — Valencia limited/prohibited marsh-zone paddies for sanitary reasons ('fiebres tercianas', post-1238 onward, intermittent through the 18th c.) plus confessional 'Muslim food' stigma; but no document anywhere restricts rice to preserve peasant dependence. The 1475 Milan intervention was promotion + export monopoly.</w:t>
      </w:r>
    </w:p>
    <w:p>
      <w:pPr>
        <w:pStyle w:val="ListBullet"/>
      </w:pPr>
      <w:r>
        <w:t>H4 — Rejected: no motive evidence; the mechanism contradicts landlord incentives (lords maximized yields — Titow) and coercion theory (Domar: bind labor, not output).</w:t>
      </w:r>
    </w:p>
    <w:p>
      <w:pPr>
        <w:pStyle w:val="ListBullet"/>
      </w:pPr>
      <w:r>
        <w:t>H5 — Falsified in general form by negative controls: heavy plough, three-field rotation, water mills, legumes and drainage all spread under strong-coercion regimes with elite encouragement.</w:t>
      </w:r>
    </w:p>
    <w:p>
      <w:r>
        <w:t>A defensible mechanism for when landlords *would* prefer lower output could not be constructed: the political benefit of preserved dependence would have to exceed the economic benefit of higher rent — and every observed lord behaved as the economic theory predicts. The genuine medieval criticisms of rice (wetland fevers; 'Muslim food' stigma — the closest analogue to the potato's later 'devil's root' reputation) are sanitary and confessional, not dependence-motivated. See POLITICAL_INTENT_EVIDENCE.csv and COMPETING_EXPLANATIONS.md.</w:t>
      </w:r>
    </w:p>
    <w:p>
      <w:pPr>
        <w:pStyle w:val="Heading1"/>
      </w:pPr>
      <w:r>
        <w:t>Phases 6–8 — Comparison, negative controls, Italy</w:t>
      </w:r>
    </w:p>
    <w:p>
      <w:r>
        <w:t>Ten region–period–regime units coded (INSTITUTIONAL_COMPARISON.csv): adoption tracks environmental suitability + irrigation institutions + knowledge access; it never tracks coercive intensity. Negative controls (Phase 7) falsify a general suppression mechanism. Renaissance Italy (Phase 8): the 1475 Sforza–Este transfer and Milanese seed-export monopoly show princely promotion and monopoly protection of a high-yield crop — commercialization, reclamation investment and ducal rent, not suppression; kept as post-period comparison only.</w:t>
      </w:r>
    </w:p>
    <w:p>
      <w:pPr>
        <w:pStyle w:val="Heading1"/>
      </w:pPr>
      <w:r>
        <w:t>Phases 9–10 — Prior studies and hostile review</w:t>
      </w:r>
    </w:p>
    <w:p>
      <w:r>
        <w:t>Twelve verified prior studies matrixed (CLOSEST_PRIOR_STUDIES.md). Novelty: type D synthesis + type B comparative dataset; no new primary evidence. Three-perspective hostile review (ADVERSARIAL_REVIEW.md): H4 fails on serfdom heterogeneity, Sicily's early-rice claim collapses on the Vella forgery, the upland-rice-in-England counterfactual is agronomically anachronistic, and the suppression mechanism fails Domar logic. No rescue evidence manufactured.</w:t>
      </w:r>
    </w:p>
    <w:p>
      <w:pPr>
        <w:pStyle w:val="Heading1"/>
      </w:pPr>
      <w:r>
        <w:t>Phase 11 — Decision</w:t>
      </w:r>
    </w:p>
    <w:p>
      <w:r>
        <w:rPr>
          <w:b/>
        </w:rPr>
        <w:t>CONDITIONAL GO — comparative institutional study (affirmative suppression hypothesis: NO-GO).</w:t>
      </w:r>
    </w:p>
    <w:p>
      <w:r>
        <w:t>A negative result is the finding: rice never entered the medieval Western European policy space. A publishable paper exists as a comparative institutional study of why adoption failure was environmental-infrastructural-epistemic, not political. See FINAL_GO_NO_GO.md and NOVELTY_AND_JOURNAL_FIT.md.</w:t>
      </w:r>
    </w:p>
    <w:p>
      <w:pPr>
        <w:pStyle w:val="Heading1"/>
      </w:pPr>
      <w:r>
        <w:t>Reproducibility</w:t>
      </w:r>
    </w:p>
    <w:p>
      <w:r>
        <w:t>Reproducible directory: sources/ (metadata + downloaded documents), data/ (acquisition ledger + SHA256 checksums), scripts/ (productivity computation, report builder), outputs/ (all deliverables). All numbers generated programmatically from documented inputs; no hardcoded scientific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