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Editor,</w:t>
      </w:r>
    </w:p>
    <w:p>
      <w:r>
        <w:t>I am pleased to submit 'Rice Diversification Beyond Traditional Growing Regions: Cultivation-System Constraints and Food-Supply Resilience' for consideration in Global Food Security.</w:t>
      </w:r>
    </w:p>
    <w:p>
      <w:r>
        <w:t>The manuscript addresses correlated staple-crop failures by asking under which agronomic, hydrological and economic conditions rice diversification can reduce severe food-supply shortfalls. It makes three defensible contributions: (i) Hokkaido is used as an empirical challenge to climate-only suitability models — cultivation there operates at an empirical bound of ~900 GDD10 enabled by cultivar and management systems; (ii) separating irrigated, rainfed-upland and supplemental-irrigation systems reveals that rainfed upland rice cannot bypass the irrigation gate in continental European climates (flowering-stage moisture deficits in 88-100% of years) — a negative result with direct implications for diversification claims; and (iii) a portfolio tail-risk analysis with a mandatory non-rice comparator shows conditional shortfall reductions where wheat-rice failure dependence is low, reported explicitly as scenario statistics rather than observed famine rates.</w:t>
      </w:r>
    </w:p>
    <w:p>
      <w:r>
        <w:t>I believe the manuscript fits Global Food Security because it treats food-security value as a system-level, evidence-bounded property rather than an assumption, and reports both positive and negative evidence without selective reporting. I make no claim of demonstrated profitability in target regions, and all numbers reproduce from the public repository.</w:t>
      </w:r>
    </w:p>
    <w:p>
      <w:r>
        <w:t>This manuscript is original, not under consideration elsewhere, and submitted for your review.</w:t>
      </w:r>
    </w:p>
    <w:p>
      <w:r>
        <w:t>Sincerely,</w:t>
        <w:br/>
        <w:t>The 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