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Rice Diversification Beyond Traditional Growing Regions: Cultivation-System Constraints and Food-Supply Resilience</w:t>
      </w:r>
    </w:p>
    <w:p>
      <w:r>
        <w:t>Original research article — evidence-bounded draft</w:t>
      </w:r>
    </w:p>
    <w:p>
      <w:pPr>
        <w:pStyle w:val="Heading1"/>
      </w:pPr>
      <w:r>
        <w:t>Abstract</w:t>
      </w:r>
    </w:p>
    <w:p>
      <w:r>
        <w:t>Background: Staple-food systems are exposed to correlated crop failures; rice is a candidate additional carbohydrate source outside its traditional range. Methods: We combine a parameter-grid climatic suitability screen (WorldClim 2.1, MapSPAM2010 validation), daily meteorology from NASA POWER (2000-2024) across 43 agricultural cells, a cultivar- and management-aware empirical cold bound documented on Hokkaido-type systems, a daily root-zone water-balance model separating irrigated, rainfed-upland and supplemental-irrigation systems, Lower Danube hydrological evidence, observed Italian rice-production costs, and a detrended wheat-rice portfolio tail-risk model with a mandatory non-rice comparator. Results: Climate-only models produce a systematic false negative in cold regions where japonica-type cultivars plus heated-nursery transplanting and warm-water irrigation operate (empirical bound ~900 GDD10 per June-September season). Several central European agricultural cells (Rhine, Alsace, Loire, Berlin, Saxony) exceed this bound but lack the enabling cultivar-management system and are classified as hypothetical-transfer only. For rainfed upland rice, the water balance shows flowering-stage moisture deficits exceeding 10 days in 88-100% of years across continental European candidates — a negative result: upland rice cannot bypass the irrigation gate and shares drought exposure with wheat. Irrigated rice in the Lower Danube is hydrologically plausible (Q99 ~1100 m3/s vs. ~24 m3/s demand at 250,000 ha). Portfolio modeling indicates reduced modeled severe-shortfall probability where wheat-rice failure dependence is low (Romania 20.3% to 10.9%, Kazakhstan 21.2% to 3.0%), though these are scenario statistics, not observed famine rates. Economics remains conditional: observed Italian costs (1470-2430 EUR/ha) are transferred only as a proxy, and regional rice costs are unobserved; break-even conditions are reported instead of invented margins. Conclusions: Rice expansion as an additional staple is hydrologically and agronomically defensible only for the irrigated Lower Danube pathway at field-trial scale; rainfed upland rice is ruled out for the evaluated European candidates. Food-security value is conditional and bounded.</w:t>
      </w:r>
    </w:p>
    <w:p>
      <w:pPr>
        <w:pStyle w:val="Heading1"/>
      </w:pPr>
      <w:r>
        <w:t>1. Introduction</w:t>
      </w:r>
    </w:p>
    <w:p>
      <w:r>
        <w:t>Correlated staple-crop failures are the dominant tail risk in regional food systems. Rice could serve as an additional carbohydrate source outside its traditional range, but suitability screening has largely treated climate as sufficient, ignoring cultivar and management systems that determine actual cultivation. This study asks under which agronomic, hydrological and economic conditions rice diversification can reduce severe food-supply shortfalls, and contributes a cultivation-system-specific audit: climate-only suitability is challenged empirically by Hokkaido; water gates are separated by production system (irrigated lowland, rainfed upland, supplemental-irrigation upland); economics is bounded by observed costs; and food-security benefit is quantified as tail-risk change against a non-rice comparator.</w:t>
      </w:r>
    </w:p>
    <w:p>
      <w:pPr>
        <w:pStyle w:val="Heading1"/>
      </w:pPr>
      <w:r>
        <w:t>2. Materials and Methods</w:t>
      </w:r>
    </w:p>
    <w:p>
      <w:r>
        <w:t>Data: WorldClim 2.1 (10-arcmin), MapSPAM2010 rice harvested area, FAOSTAT yield and producer-price series, FAO GMIA v5 irrigation extent, World Bank SDG 6.4.2 water stress, NASA POWER daily T2M_MAX/T2M_MIN/PRECTOTCORR (2000-2024) for 43 agricultural cells, and documented hydrological literature for the Danube. Climate screening: parameter-grid monthly-mean suitability validated against SPAM2010 (95.8% of existing rice area in feasible classes). Daily analysis: seasonal Jun-Sep GDD10, cold-snap nights (Tmin&lt;12C), and a single-layer bucket water balance (TAW 100 mm scenario, Hargreaves ET0, stage-specific Kc) counting deficit days per stage over a 120-day upland crop window. Economics: observed Italian paddy costs (Vercelli CCI-derived, 1470-2430 EUR/ha; variable 1130-1470; margins 1499-4379 conventional / 1318-2650 organic EUR/ha) used only within their documented context; regional costs unobserved and treated via break-even thresholds. Portfolio: detrended log-yield residuals (FAOSTAT) with an area-share-weighted cereal baseline and scenarios A existing / B rice substitution f=0.2 / C additive rice / D potato comparator; metrics include mean, fifth percentile, expected shortfall, and joint failure probability. All numbers regenerate from scripts; no hardcoded scientific results.</w:t>
      </w:r>
    </w:p>
    <w:p>
      <w:pPr>
        <w:pStyle w:val="Heading1"/>
      </w:pPr>
      <w:r>
        <w:t>3. Results</w:t>
      </w:r>
    </w:p>
    <w:p>
      <w:pPr>
        <w:pStyle w:val="Heading2"/>
      </w:pPr>
      <w:r>
        <w:t>3.1 Hokkaido and the limitations of climate-only suitability</w:t>
      </w:r>
    </w:p>
    <w:p>
      <w:r>
        <w:t>The generic threshold model classifies Hokkaido infeasible (903 GDD10, 68.6 cold-snap nights, 195 frost-free days) yet commercial rice is grown there and at Asahikawa (901) and Morioka (1136). The empirical bound of approximately 900 GDD10 per June-September season is a system-specific bound enabled by ultra-early japonica cultivars, heated nurseries, transplanting and warm-water irrigation — not a universal physiological threshold (Figure 2). The false negative is thus a structural model limitation: climate-only screens cannot express cultivar-by-management classes.</w:t>
      </w:r>
    </w:p>
    <w:p>
      <w:pPr>
        <w:pStyle w:val="Heading2"/>
      </w:pPr>
      <w:r>
        <w:t>3.2 Technology-dependent feasibility in European candidate regions</w:t>
      </w:r>
    </w:p>
    <w:p>
      <w:r>
        <w:t>Agricultural-cell reassessment (Figure 3) shows several central European cells exceed the ~900 bound (Rhine 957, Alsace 1080, Loire 1108, Berlin 1089, Saxony 969) but fall below conventional-japonica suitability (~1500) and lack the enabling cultivar-management system; they are classified as hypothetical-transfer (research-only), not demonstrated feasibility. The UK, Denmark, southern Scandinavia and the Baltics remain below the bound on every cell (405-825 GDD10) and are unsuitable under evaluated conditions. The Lower Danube and Hungarian Danube cell (1506-1750 GDD10) approach conventional suitability and are the strongest candidates.</w:t>
      </w:r>
    </w:p>
    <w:p>
      <w:pPr>
        <w:pStyle w:val="Heading2"/>
      </w:pPr>
      <w:r>
        <w:t>3.3 Irrigated lowland rice and Lower Danube water availability</w:t>
      </w:r>
    </w:p>
    <w:p>
      <w:r>
        <w:t>Danube mean discharge at the Iron Gates is ~5420 m3/s with Q99 minimum ~1100 m3/s; seasonal paddy demand is ~24 m3/s at 250,000 ha (about 2% of Q99). A published WEAP allocation study of the Iron Gates-Zimnicea reach finds no agricultural deficit under dry, normal and wet scenarios. River-water availability therefore does not bind at candidate scale; the binding constraint is local allocation, conveyance and irrigation infrastructure (Figure 4).</w:t>
      </w:r>
    </w:p>
    <w:p>
      <w:pPr>
        <w:pStyle w:val="Heading2"/>
      </w:pPr>
      <w:r>
        <w:t>3.4 Rainfed upland rice: negative moisture-balance results</w:t>
      </w:r>
    </w:p>
    <w:p>
      <w:r>
        <w:t>For a 120-day rainfed upland crop window, flowering-stage deficits (&gt;10 days below 30% TAW) occur in 88-100% of years across continental European candidates (Lower Danube 100%, Osijek 100%, Kherson 100%, Loire 100%, Beauce 100%, Berlin 88%) (Figure 5). Japanese sites are the exception (Hokkaido 48%, Morioka 20%); Denmark/Lund are marginal (52-64%). Rainfed upland rice therefore cannot bypass the irrigation gate in the evaluated continental climates and shares critical drought exposure with wheat.</w:t>
      </w:r>
    </w:p>
    <w:p>
      <w:pPr>
        <w:pStyle w:val="Heading2"/>
      </w:pPr>
      <w:r>
        <w:t>3.5 Supplemental irrigation and residual infrastructure dependence</w:t>
      </w:r>
    </w:p>
    <w:p>
      <w:r>
        <w:t>Supplemental-irrigation upland rice removes flooding but not infrastructure: supplemental demand arises at flowering in most years across the same cells, so W-C is conditional, not irrigation-free.</w:t>
      </w:r>
    </w:p>
    <w:p>
      <w:pPr>
        <w:pStyle w:val="Heading2"/>
      </w:pPr>
      <w:r>
        <w:t>3.6 Food-security tail-risk outcomes</w:t>
      </w:r>
    </w:p>
    <w:p>
      <w:r>
        <w:t>Portfolio modeling (Figure 6) shows reduced modeled severe-shortfall probability under scenario B where wheat-rice dependence is low: Romania 20.3% to 10.9%, Kazakhstan 21.2% to 3.0%. Results are scenario statistics, not observed famine rates; analog-region extrapolation is flagged, and in Serbia the potato comparator outperforms rice.</w:t>
      </w:r>
    </w:p>
    <w:p>
      <w:pPr>
        <w:pStyle w:val="Heading2"/>
      </w:pPr>
      <w:r>
        <w:t>3.7 Economic break-even conditions</w:t>
      </w:r>
    </w:p>
    <w:p>
      <w:r>
        <w:t>Observed Italian costs (1470-2430 EUR/ha total; margins 1499-4379 EUR/ha) are reported only for their documented context. Rice-specific costs for Romania, Bulgaria, Croatia and Serbia are unobserved; economic results are therefore break-even thresholds, not profit claims (Figure 7).</w:t>
      </w:r>
    </w:p>
    <w:p>
      <w:pPr>
        <w:pStyle w:val="Heading1"/>
      </w:pPr>
      <w:r>
        <w:t>4. Discussion</w:t>
      </w:r>
    </w:p>
    <w:p>
      <w:r>
        <w:t>Cultivation technology changes geographic suitability: the Hokkaido bound is achieved by a system, not by latitude. Irrigation creates a failure pathway distinct from rainfed cereals only where water delivery is secured. Upland rice does not provide drought resilience in continental climates because it shares critical moisture-deficit exposure with wheat — the negative result is the study's most defensible contribution. Agronomic possibility is not economic adoption; the missing regional cost observations limit conclusions to conditional feasibility. Field trials, not modeling, are the required next step for the Lower Danube. Crop-disease resilience is an untested extension; changing rice-quality geography in northern Japan is a separate Discussion item; soybean is a complementary protein direction outside the computational analysis. Controlled-environment rice remains excluded from the principal analysis.</w:t>
      </w:r>
    </w:p>
    <w:p>
      <w:pPr>
        <w:pStyle w:val="Heading1"/>
      </w:pPr>
      <w:r>
        <w:t>5. Conclusions</w:t>
      </w:r>
    </w:p>
    <w:p>
      <w:r>
        <w:t>Rice as an additional staple is defensible only for the irrigated Lower Danube pathway at field-trial scale, conditional on local allocation, infrastructure and regional cost observations. Rainfed upland rice is ruled out for the evaluated European candidates; central European cells are hypothetical-transfer only. Modeled tail-risk improvement is bounded and comparator-tested; food-security value is conditional, not demonstrated adoption.</w:t>
      </w:r>
    </w:p>
    <w:p>
      <w:pPr>
        <w:pStyle w:val="Heading1"/>
      </w:pPr>
      <w:r>
        <w:t>Declarations</w:t>
      </w:r>
    </w:p>
    <w:p>
      <w:r>
        <w:t>Data availability: scripts and provenance ledger in the public repository (github.com/bougtoir/more-rice); raw third-party datasets are not redistributed (license restrictions) and are reacquired via documented URLs and checksums.</w:t>
      </w:r>
    </w:p>
    <w:p>
      <w:pPr>
        <w:pStyle w:val="Heading1"/>
      </w:pPr>
      <w:r>
        <w:t>References</w:t>
      </w:r>
    </w:p>
    <w:p>
      <w:r>
        <w:t>[1] van Oort &amp; Zwart (2018) Beyond rice, Food Policy 76:230-240</w:t>
      </w:r>
    </w:p>
    <w:p>
      <w:r>
        <w:t>[2] van Oort et al. (2015) Nature Climate Change</w:t>
      </w:r>
    </w:p>
    <w:p>
      <w:r>
        <w:t>[3] Siebert et al. (2015) GMIA v5</w:t>
      </w:r>
    </w:p>
    <w:p>
      <w:r>
        <w:t>[4] You et al. MapSPAM</w:t>
      </w:r>
    </w:p>
    <w:p>
      <w:r>
        <w:t>[5] MDPI Water (2016) 8:336 Vercelli cost study</w:t>
      </w:r>
    </w:p>
    <w:p>
      <w:r>
        <w:t>[6] agriculture-15-01797 four-farm gross margins</w:t>
      </w:r>
    </w:p>
    <w:p>
      <w:r>
        <w:t>[7] CT-UPT Iron Gates ecohydrology (2014)</w:t>
      </w:r>
    </w:p>
    <w:p>
      <w:r>
        <w:t>[8] Geo-Eco-Marina WEAP lower Danube (2022)</w:t>
      </w:r>
    </w:p>
    <w:p>
      <w:r>
        <w:t>[9] NARO CARC ratoon rice press 177907</w:t>
      </w:r>
    </w:p>
    <w:p>
      <w:r>
        <w:t>[10] Plant Physiology (2025) vertical farming energy floor</w:t>
      </w:r>
    </w:p>
    <w:p>
      <w:r>
        <w:t>[11] Tendall et al. (2015)</w:t>
      </w:r>
    </w:p>
    <w:p>
      <w:r>
        <w:t>[12] Bren d'Amour &amp; Anderson</w:t>
      </w:r>
    </w:p>
    <w:p>
      <w:r>
        <w:t>[13] Gaupp et al.</w:t>
      </w:r>
    </w:p>
    <w:p>
      <w:r>
        <w:t>[14] Bouman AWD literature</w:t>
      </w:r>
    </w:p>
    <w:p>
      <w:r>
        <w:t>[15] FAOSTAT QCL/Prices, WorldClim 2.1, NASA POWER, WB SDG 6.4.2</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