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Editor,</w:t>
      </w:r>
    </w:p>
    <w:p>
      <w:r>
        <w:t>I am pleased to submit 'Rice Diversification Beyond Traditional Growing Regions: Cultivation-System Constraints and Food-Supply Resilience' for consideration in Agricultural Systems.</w:t>
      </w:r>
    </w:p>
    <w:p>
      <w:r>
        <w:t>Staple-food systems are exposed to correlated crop failures, and rice is an obvious candidate additional carbohydrate — yet suitability research has largely equated climate with feasibility. My study separates three questions that are usually conflated: can rice be cultivated, can it be cultivated sustainably and economically, and does adding it improve resilience.</w:t>
      </w:r>
    </w:p>
    <w:p>
      <w:r>
        <w:t>The specific novelty is a cultivation-system-specific audit. First, Hokkaido serves as an empirical challenge to climate-only models: commercial cultivation operates at an empirical bound of ~900 GDD10 per season, made possible by ultra-early japonica cultivars combined with heated nurseries, transplanting and warm-water irrigation — showing that suitability is technology-dependent, not merely climatic. Second, separating irrigated lowland, rainfed upland and supplemental-irrigation systems reveals that rainfed upland rice cannot bypass the irrigation gate in continental European climates: flowering-stage moisture deficits occur in 88-100% of years across the evaluated cells, and upland rice shares the critical drought exposure with wheat — removing the diversification benefit precisely where it matters. Third, a portfolio tail-risk analysis with a mandatory non-rice comparator quantifies conditional shortfall reductions where wheat-rice failure dependence is low, reported as scenario statistics rather than observed famine rates.</w:t>
      </w:r>
    </w:p>
    <w:p>
      <w:r>
        <w:t>Hydrological evidence places the Lower Danube as the only currently defensible field-trial vector (Q99 ~1100 m3/s vs ~24 m3/s demand at 250,000 ha), while European cells exceeding the thermal bound (Rhine, Alsace, Loire, Berlin, Saxony) are classified as hypothetical-transfer only. I make no claim of observed European adoption or demonstrated profitability; regional rice-cost observations are absent and the economic results are therefore break-even conditions.</w:t>
      </w:r>
    </w:p>
    <w:p>
      <w:r>
        <w:t>I believe this is a good fit for Agricultural Systems because it treats feasibility as a system property — cultivar, management, water delivery and economics — and reports a defensible negative result alongside conditional positive findings.</w:t>
      </w:r>
    </w:p>
    <w:p>
      <w:r>
        <w:t>This manuscript is original, not under consideration elsewhere, and all analysis reproduces from the public repository.</w:t>
      </w:r>
    </w:p>
    <w:p>
      <w:r>
        <w:t>Sincerely,</w:t>
        <w:br/>
        <w:t>Onishi Tatsuki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