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Editor-in-Chief</w:t>
      </w:r>
    </w:p>
    <w:p>
      <w:r>
        <w:t>Pharmacoepidemiology and Drug Safety</w:t>
      </w:r>
    </w:p>
    <w:p/>
    <w:p>
      <w:r>
        <w:t>Dear Editor,</w:t>
      </w:r>
    </w:p>
    <w:p>
      <w:r>
        <w:t>Please consider my manuscript, “Therapeutic substitution of interferon-based hepatitis C therapy by interferon-free direct-acting antivirals in Japan: national drug-utilization dynamics, 2014-2024,” for publication as an Original Article in Pharmacoepidemiology and Drug Safety.</w:t>
      </w:r>
    </w:p>
    <w:p>
      <w:r>
        <w:t>Uptake of a new medicine is routinely reported; replacement of the incumbent treatment standard is rarely measured. This study quantifies therapeutic substitution itself on national drug-utilization data: using Japan's NDB Open Data for fiscal years 2014-2024, I tracked dispensed quantities of interferon-based therapy and of interferon-free direct-acting antivirals (DAAs) for hepatitis C against dated approval and reimbursement milestones, and converted both to estimated treatment courses so that a 48-week course of weekly injections and an 8-week course of daily tablets could be compared on one scale.</w:t>
      </w:r>
    </w:p>
    <w:p>
      <w:r>
        <w:t>The replacement was nearly total and very fast. Peginterferon dispensing fell 99.3% over the study period and the first-generation protease inhibitors given with it fell below the publication threshold from FY2016; interferon-free regimens reached 97.0% of estimated treatment courses within one fiscal year of the first interferon-free listing. What national data then captured is a second, less often described phenomenon: post-substitution throughput. Combined estimated treatment volume peaked in FY2015 and then fell 91.4%, a pattern consistent with progressive treatment of an accumulated prevalent population. The analysis reports effect estimates with 95% confidence intervals and P values, and calibrates the slope-change inference as model-based because the segment knot is fixed at the observed peak. Previous Japanese national studies, including the claims-database analyses by Yamashita et al. and Suoh et al., quantify who was treated, where, and at what cost; this study extends them on a different axis by placing incumbent and successor therapies on a common course-equivalent scale, so the results complement rather than duplicate that work.</w:t>
      </w:r>
    </w:p>
    <w:p>
      <w:r>
        <w:t>I believe the work fits the scope of Pharmacoepidemiology and Drug Safety. It is a national drug-utilization analysis whose central object is therapeutic substitution rather than uptake alone: it places the incumbent and successor regimens on a common course-equivalent scale, quantifies the speed of national replacement, and characterizes the lower-throughput phase that followed near-complete adoption. The same decomposition applies whenever a new treatment displaces an incumbent and courses are finite, and the hepatitis C transition is an unusually clean empirical demonstration of how medicine-use trajectories after disruptive therapeutic innovation should be read.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A completed STROBE checklist is provided as Supplementary Material.</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my work.</w:t>
      </w:r>
    </w:p>
    <w:p/>
    <w:p>
      <w:r>
        <w:t>Sincerely,</w:t>
      </w:r>
    </w:p>
    <w:p>
      <w:r>
        <w:t>[Corresponding author name]</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