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Tables</w:t>
      </w:r>
    </w:p>
    <w:p>
      <w:pPr>
        <w:spacing w:before="280"/>
      </w:pPr>
      <w:r>
        <w:rPr>
          <w:b/>
          <w:sz w:val="18"/>
        </w:rPr>
        <w:t>Table 1. Official approval and NHI drug-price listing milestones for interferon-free direct-acting antivirals in Japan.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rPr>
                <w:b/>
                <w:sz w:val="15"/>
              </w:rPr>
              <w:t>FY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Date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Drug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Milestone</w:t>
            </w:r>
          </w:p>
        </w:tc>
        <w:tc>
          <w:tcPr>
            <w:tcW w:type="dxa" w:w="1728"/>
          </w:tcPr>
          <w:p>
            <w:r>
              <w:rPr>
                <w:b/>
                <w:sz w:val="15"/>
              </w:rPr>
              <w:t>Source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2014-07-04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daclatasvir + asunaprevir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 date 2014-07-04 (asunaprevir and daclatasvir package inserts); Bristol-Myers Squibb K.K. press release, 2014-07-04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2014-09-02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daclatasvir + asunaprevir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drug-price listing date 2014-09-02 (asunaprevir and daclatasvir package inserts); market launch 2014-09-03 (Bristol-Myers Squibb K.K. press release)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2015-03-26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Sofosbuvir approval date 2015-03-26 (package insert / interview form)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2015-05-20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 2015-05-20 (Chuikyo plenary decision 2015-05-13; MHLW Health Insurance Bureau notification Ho-i-hatsu 0519 No. 1)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2015-07-03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ledipasvir/sofosbuvir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MHLW marketing approval 2015-07-03 (package insert; reported by Asahi Shimbun, 2015-07-04)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2015-08-31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ledipasvir/sofosbuvir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Ledipasvir/sofosbuvir NHI drug-price listing date 2015-08-31 (package insert)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2017-09-27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glecaprevir/pibrentasvir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approval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Marketing approval 2017-09-27 (PMDA/MHLW; AbbVie GK)</w:t>
            </w:r>
          </w:p>
        </w:tc>
      </w:tr>
      <w:tr>
        <w:tc>
          <w:tcPr>
            <w:tcW w:type="dxa" w:w="1728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2017-11-22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glecaprevir/pibrentasvir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NHI listing</w:t>
            </w:r>
          </w:p>
        </w:tc>
        <w:tc>
          <w:tcPr>
            <w:tcW w:type="dxa" w:w="1728"/>
          </w:tcPr>
          <w:p>
            <w:r>
              <w:rPr>
                <w:sz w:val="15"/>
              </w:rPr>
              <w:t>Glecaprevir/pibrentasvir NHI drug-price listing date 2017-11-22 (Chuikyo plenary decision 2017-11-15; package insert); market launch 2017-11-27</w:t>
            </w:r>
          </w:p>
        </w:tc>
      </w:tr>
    </w:tbl>
    <w:p>
      <w:r>
        <w:br w:type="page"/>
      </w:r>
    </w:p>
    <w:p>
      <w:pPr>
        <w:spacing w:before="280"/>
      </w:pPr>
      <w:r>
        <w:rPr>
          <w:b/>
          <w:sz w:val="18"/>
        </w:rPr>
        <w:t>Table 2. National dispensed quantity by drug group and fiscal year (NDB Open Data). Units differ across groups and are not additive.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5"/>
              </w:rPr>
              <w:t>Fiscal year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Peginterferon (syringes)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First-generation protease inhibitors (with peginterferon)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Conventional interferon (not hepatitis-C-specific)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Ribavirin (both regimens)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Interferon-free DAA total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619,333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826,748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326,802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10,166,159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6,736,616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131,081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173,122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224,563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8,100,850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19,374,861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33,688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(≤284,823)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168,967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4,849,660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6,783,118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21,176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(≤444,730)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130,383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2,687,890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5,062,848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14,162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(≤530,758)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103,120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3,124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5,051,120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10,961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(≤506,393)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75,458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62,956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3,165,028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8,013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(≤336,918)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54,982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(≤112,306)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2,356,769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7,534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(≤241,864)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45,147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(≤80,622)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1,994,076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7,073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(≤233,392)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35,298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(≤77,798)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1,545,191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4,836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(≤187,965)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21,673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(≤62,561)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1,527,987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4,240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NP (≤8,991)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16,816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28,508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1,164,534</w:t>
            </w:r>
          </w:p>
        </w:tc>
      </w:tr>
    </w:tbl>
    <w:p>
      <w:r>
        <w:br w:type="page"/>
      </w:r>
    </w:p>
    <w:p>
      <w:pPr>
        <w:spacing w:before="280"/>
      </w:pPr>
      <w:r>
        <w:rPr>
          <w:b/>
          <w:sz w:val="18"/>
        </w:rPr>
        <w:t>Table 3. Estimated treatment courses by fiscal year (estimates from documented regimen durations, one anchor product per regimen; not observed patient counts).</w:t>
      </w:r>
    </w:p>
    <w:tbl>
      <w:tblPr>
        <w:tblStyle w:val="TableGrid"/>
        <w:tblW w:type="auto" w:w="0"/>
        <w:tblLook w:firstColumn="1" w:firstRow="1" w:lastColumn="0" w:lastRow="0" w:noHBand="0" w:noVBand="1" w:val="04A0"/>
        <w:tblBorders>
          <w:left w:val="none" w:sz="0" w:space="0" w:color="auto"/>
          <w:right w:val="none" w:sz="0" w:space="0" w:color="auto"/>
          <w:insideV w:val="none" w:sz="0" w:space="0" w:color="auto"/>
        </w:tblBorders>
      </w:tblPr>
      <w:tblGrid>
        <w:gridCol w:w="1440"/>
        <w:gridCol w:w="1440"/>
        <w:gridCol w:w="1440"/>
        <w:gridCol w:w="1440"/>
        <w:gridCol w:w="1440"/>
        <w:gridCol w:w="1440"/>
      </w:tblGrid>
      <w:tr>
        <w:tc>
          <w:tcPr>
            <w:tcW w:type="dxa" w:w="1440"/>
          </w:tcPr>
          <w:p>
            <w:r>
              <w:rPr>
                <w:b/>
                <w:sz w:val="15"/>
              </w:rPr>
              <w:t>Fiscal year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Interferon-free DAA courses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Interferon-free DAA courses (longer-duration assumption)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Peginterferon courses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Combined treatment volume</w:t>
            </w:r>
          </w:p>
        </w:tc>
        <w:tc>
          <w:tcPr>
            <w:tcW w:type="dxa" w:w="1440"/>
          </w:tcPr>
          <w:p>
            <w:r>
              <w:rPr>
                <w:b/>
                <w:sz w:val="15"/>
              </w:rPr>
              <w:t>DAA share (%)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13,404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13,404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12,903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26,307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50.9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89,858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89,858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2,731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92,589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97.0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60,598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60,598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702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61,300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35,292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32,903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441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35,733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98.8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30,473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21,853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295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30,768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99.0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2019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20,275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14,354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228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20,503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15,052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10,700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167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15,219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98.9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12,712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9,027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157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12,868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98.8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9,799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6,793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147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9,947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98.5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10,174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6,423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101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10,275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99.0</w:t>
            </w:r>
          </w:p>
        </w:tc>
      </w:tr>
      <w:tr>
        <w:tc>
          <w:tcPr>
            <w:tcW w:type="dxa" w:w="1440"/>
          </w:tcPr>
          <w:p>
            <w:r>
              <w:rPr>
                <w:sz w:val="15"/>
              </w:rPr>
              <w:t>2024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7,862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5,026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88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7,950</w:t>
            </w:r>
          </w:p>
        </w:tc>
        <w:tc>
          <w:tcPr>
            <w:tcW w:type="dxa" w:w="1440"/>
          </w:tcPr>
          <w:p>
            <w:r>
              <w:rPr>
                <w:sz w:val="15"/>
              </w:rPr>
              <w:t>98.9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