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Rapid Population-Level Displacement of Interferon-Based Hepatitis C Therapy by Interferon-Free Direct-Acting Antivirals, Japan</w:t>
      </w:r>
    </w:p>
    <w:p>
      <w:pPr>
        <w:spacing w:after="120"/>
      </w:pPr>
      <w:r>
        <w:rPr>
          <w:b/>
        </w:rPr>
        <w:t xml:space="preserve">Article type: </w:t>
      </w:r>
      <w:r>
        <w:t>Research</w:t>
      </w:r>
    </w:p>
    <w:p>
      <w:pPr>
        <w:spacing w:after="120"/>
      </w:pPr>
      <w:r>
        <w:rPr>
          <w:b/>
        </w:rPr>
        <w:t xml:space="preserve">Article summary line: </w:t>
      </w:r>
      <w:r>
        <w:t>In Japan, hepatitis C antiviral use switched almost entirely to interferon-free direct-acting antiviral regimens within one fiscal year of reimbursement.</w:t>
      </w:r>
    </w:p>
    <w:p>
      <w:pPr>
        <w:spacing w:after="120"/>
      </w:pPr>
      <w:r>
        <w:rPr>
          <w:b/>
        </w:rPr>
        <w:t xml:space="preserve">Running title: </w:t>
      </w:r>
      <w:r>
        <w:t>Hepatitis C Treatment Switch in Japan</w:t>
      </w:r>
    </w:p>
    <w:p>
      <w:pPr>
        <w:spacing w:after="120"/>
      </w:pPr>
      <w:r>
        <w:rPr>
          <w:b/>
        </w:rPr>
        <w:t xml:space="preserve">Keywords: </w:t>
      </w:r>
      <w:r>
        <w:t>Hepatitis C; Hepatitis C, Chronic; Antiviral Agents; Interferons; Direct-Acting Antivirals; Japan</w:t>
      </w:r>
    </w:p>
    <w:p>
      <w:pPr>
        <w:spacing w:after="120"/>
      </w:pPr>
      <w:r>
        <w:rPr>
          <w:b/>
        </w:rPr>
        <w:t xml:space="preserve">Authors: </w:t>
      </w:r>
      <w:r>
        <w:t>[To be completed by the authors; include ORCID iDs for first and corresponding authors]</w:t>
      </w:r>
    </w:p>
    <w:p>
      <w:pPr>
        <w:spacing w:after="120"/>
      </w:pPr>
      <w:r>
        <w:rPr>
          <w:b/>
        </w:rPr>
        <w:t xml:space="preserve">Affiliations: </w:t>
      </w:r>
      <w:r>
        <w:t>[To be completed by the authors; include institution, department, city, country]</w:t>
      </w:r>
    </w:p>
    <w:p>
      <w:pPr>
        <w:spacing w:after="120"/>
      </w:pPr>
      <w:r>
        <w:rPr>
          <w:b/>
        </w:rPr>
        <w:t xml:space="preserve">Corresponding author: </w:t>
      </w:r>
      <w:r>
        <w:t>[Name], [Affiliation], [Full postal address], Phone: [telephone], Email: [email]</w:t>
      </w:r>
    </w:p>
    <w:p>
      <w:pPr>
        <w:spacing w:after="120"/>
      </w:pPr>
      <w:r>
        <w:rPr>
          <w:b/>
        </w:rPr>
        <w:t xml:space="preserve">Word count: </w:t>
      </w:r>
      <w:r>
        <w:t>Abstract: 146 words; main text: 2228 words (excluding references, tables, figure legends, acknowledgments, and author information)</w:t>
      </w:r>
    </w:p>
    <w:p>
      <w:pPr>
        <w:spacing w:after="120"/>
      </w:pPr>
      <w:r>
        <w:rPr>
          <w:b/>
        </w:rPr>
        <w:t xml:space="preserve">Tables / figures: </w:t>
      </w:r>
      <w:r>
        <w:t>3 tables, 3 figures</w:t>
      </w:r>
    </w:p>
    <w:p>
      <w:r>
        <w:br w:type="page"/>
      </w:r>
    </w:p>
    <w:p>
      <w:pPr>
        <w:pStyle w:val="Heading1"/>
      </w:pPr>
      <w:r>
        <w:t>Abstract</w:t>
      </w:r>
    </w:p>
    <w:p>
      <w:r>
        <w:t xml:space="preserve">Interferon-free direct-acting antivirals (DAAs) for hepatitis C were reimbursed in Japan in 2014-2015. </w:t>
      </w:r>
      <w:r>
        <w:t xml:space="preserve">Using NDB Open Data (fiscal years 2014-2023), we described national dispensed quantities of peginterferon, protease inhibitors, ribavirin, conventional interferon, and DAA products, converted to estimated treatment courses using documented regimen durations. </w:t>
      </w:r>
      <w:r>
        <w:t xml:space="preserve">Segmented log-linear and exponential trend models quantified the timing and rate of the interferon-to-DAA switch. </w:t>
      </w:r>
      <w:r>
        <w:t xml:space="preserve">Peginterferon dispensing fell 99.2% from FY2014 to FY2023, protease inhibitors were absent from FY2016, and estimated total treatment volume peaked in FY2015 and then fell 88.9% to 10,275 courses by FY2023. The DAA share rose from 50.9% to 97.0% within one fiscal year and persisted above 97%. </w:t>
      </w:r>
      <w:r>
        <w:t xml:space="preserve">Ribavirin rebounded 20-fold in FY2019 and was zero from FY2020 onward. </w:t>
      </w:r>
      <w:r>
        <w:t>National hepatitis C treatment shifted almost entirely to interferon-free regimens within one year of reimbursement, with a surge-and-decline pattern consistent with a curative therapy moving through a prevalent pool.</w:t>
      </w:r>
    </w:p>
    <w:p>
      <w:pPr>
        <w:pStyle w:val="Heading1"/>
      </w:pPr>
      <w:r>
        <w:t>Introduction</w:t>
      </w:r>
    </w:p>
    <w:p>
      <w:r>
        <w:t>Whether a newly approved therapy actually displaces the established standard of care, and how fast, is a practical question for regulators and payers as well as for patients waiting for a better option. Japan has historically approved new drugs later than the United States or Europe, although that gap narrowed over the 2010s</w:t>
      </w:r>
      <w:r>
        <w:rPr>
          <w:i/>
        </w:rPr>
        <w:t>(1)</w:t>
      </w:r>
      <w:r>
        <w:t>, and approval is only the first step: a therapy also has to be reimbursed, affordable, and taken up by clinicians and patients before national utilization moves. Chronic hepatitis C provides an unusually clear setting in which to observe that movement. Until 2014, treatment in Japan was built around interferon, given for 24-48 weeks with ribavirin and, from 2011, with a first-generation NS3/4A protease inhibitor; it was poorly tolerated and did not cure everyone</w:t>
      </w:r>
      <w:r>
        <w:rPr>
          <w:i/>
        </w:rPr>
        <w:t>(2)</w:t>
      </w:r>
      <w:r>
        <w:t>. Interferon-free all-oral regimens then arrived in quick succession: daclatasvir plus asunaprevir, approved in July 2014, was the first regimen worldwide to dispense with both interferon and ribavirin</w:t>
      </w:r>
      <w:r>
        <w:rPr>
          <w:i/>
        </w:rPr>
        <w:t>(3-4)</w:t>
      </w:r>
      <w:r>
        <w:t>, followed by sofosbuvir-based and pangenotypic regimens with cure rates above 90% and treatment durations of 8-12 weeks</w:t>
      </w:r>
      <w:r>
        <w:rPr>
          <w:i/>
        </w:rPr>
        <w:t>(5-6)</w:t>
      </w:r>
      <w:r>
        <w:t>.</w:t>
      </w:r>
    </w:p>
    <w:p>
      <w:r>
        <w:t>Two outcomes are possible at the population level once such a therapy is approved and reimbursed. National use of the prior standard may fall steeply, indicating that the older therapy was being used for want of an alternative and that little stands between reimbursement and treatment. Alternatively, use may change slowly, which would point to real practical friction—cost, referral pathways, capacity, or clinical caution—between a therapy becoming available and a population receiving it. Nationwide dispensing data can distinguish these, and the answer is informative because the same question recurs with every new class of therapy. We therefore used NDB Open Data, the national open-data release of Japan's claims database</w:t>
      </w:r>
      <w:r>
        <w:rPr>
          <w:i/>
        </w:rPr>
        <w:t>(7)</w:t>
      </w:r>
      <w:r>
        <w:t>, to describe how national dispensing of interferon-based therapy and of interferon-free direct-acting antivirals (DAAs) changed around the approval and NHI-listing milestones of 2014-2017, how fast the two exchanged places on a common estimated-course scale, and how much total hepatitis C treatment volume the transition generated.</w:t>
      </w:r>
    </w:p>
    <w:p>
      <w:pPr>
        <w:pStyle w:val="Heading1"/>
      </w:pPr>
      <w:r>
        <w:t>Methods</w:t>
      </w:r>
    </w:p>
    <w:p>
      <w:r>
        <w:t>Data. NDB Open Data editions 1-10 cover fiscal years 2014-2023</w:t>
      </w:r>
      <w:r>
        <w:rPr>
          <w:i/>
        </w:rPr>
        <w:t>(7)</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reported separately as a background series because it is also used for other indications and is not hepatitis-C-specific. Ribavirin is also reported separately, and deliberately not as part of interferon-based therapy, because it accompanied both peginterferon and the interferon-free sofosbuvir plus ribavirin regimen for genotype 2</w:t>
      </w:r>
      <w:r>
        <w:rPr>
          <w:i/>
        </w:rPr>
        <w:t>(5)</w:t>
      </w:r>
      <w:r>
        <w:t>; its series therefore mixes established and new treatment.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rPr>
          <w:i/>
        </w:rPr>
        <w:t>(3,8)</w:t>
      </w:r>
      <w:r>
        <w:t>. No measure of news or social-media coverage, or of patient or prescriber exposure to it, was available, so media effects were not included as an exposure in this study.</w:t>
      </w:r>
    </w:p>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rPr>
          <w:i/>
        </w:rPr>
        <w:t>(2)</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10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w:t>
      </w:r>
    </w:p>
    <w:p>
      <w:pPr>
        <w:tabs>
          <w:tab w:pos="1065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65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rPr>
          <w:i/>
        </w:rPr>
        <w:t>(9)</w:t>
      </w:r>
      <w:r>
        <w:t>, cross-checked against a residual bootstrap (10,000 resamples)</w:t>
      </w:r>
      <w:r>
        <w:rPr>
          <w:i/>
        </w:rPr>
        <w:t>(10)</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99.2% between FY2014 and FY2023, from 619,333 to 4,836 syringes, a decline of 36% per year (95% CI 24-47%). The first-generation protease inhibitors, which were only ever given with peginterferon, went from 826,748 units in FY2014 to none from FY2016 onward. Conventional interferon, which is not hepatitis-C-specific, fell more gradually (93.4% overall; 25% per year, 95% CI 24-26%), providing a background comparison; the much steeper fall in peginterferon suggests that most of the hepatitis-C-specific decline is not explained by a general drift in interferon use.</w:t>
      </w:r>
    </w:p>
    <w:p>
      <w:r>
        <w:t>Ribavirin behaved differently, as expected for a drug shared by older and newer regimens: it fell from 10,166,159 to 3,124 units in FY2018, then rose 20-fold to 62,956 in FY2019, and was zero from FY2020 onward. Fitted over the fiscal years with positive dispensing (FY2014-FY2019, which include the FY2019 increase), its decline was 76% per year (95% CI 60-85%). Because ribavirin was used with peginterferon and with interferon-free sofosbuvir, this rate describes the combined retreat of both regimens and is not evidence about interferon-based therapy alone.</w:t>
      </w:r>
    </w:p>
    <w:p>
      <w:r>
        <w:t>Interferon-free DAA dispensing rose and then receded (Figure 2). Total DAA dispensing peaked in FY2015 at 19.4 million units, 188% above FY2014, and then fell 92% to 1.5 million units by FY2023, with each generation of product giving way to the next. In the segmented model, dispensing declined 25.0% per year after the FY2015 peak (95% CI 20.5-29.2%) and the post-peak slope differed from the pre-peak slope (P &lt; 0.001). The pre-peak segment corresponds to 71% per year but rests on only 2 observations, and its bootstrap interval (-8.6% to 166.8%) includes zero; it is a single year-on-year increment rather than an estimated trend and we do not interpret it as a rate.</w:t>
      </w:r>
    </w:p>
    <w:p>
      <w:r>
        <w:t>Placing both therapies on the estimated-course scale shows the exchange directly (Figure 3, Table 3). Estimated peginterferon courses fell from about 12,903 in FY2014 to about 101 in FY2023, while estimated interferon-free DAA courses peaked at about 89,858 in FY2015. The combined estimated treatment volume rose from 26,307 courses in FY2014 to 92,589 in FY2015 and then declined 88.9% to 10,275 by FY2023 (24.7% per year after the peak, 95% CI 21.8-27.5%; slope change P &lt; 0.001). The DAA share of estimated courses went from 50.9% in FY2014 to 97.0% in FY2015 and remained at 99.0% in FY2023. Over FY2014-FY2023 the estimated cumulative interferon-free DAA volume was 265,914-297,637 courses depending on the duration assumption. These are estimates derived from regimen durations, not counts of treated people.</w:t>
      </w:r>
    </w:p>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were negligible or absent within about two years. This rapid displacement suggests that any friction between reimbursement and treatment was small on an annual scale, although the data do not isolate it.</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265,914-297,637 interferon-free DAA courses over ten years are of the same order as the hepatitis C population known to be in care in Japan before DAAs, estimated at about 520,000 patients receiving care in 2011 with a further 167,000-767,000 diagnosed but untreated</w:t>
      </w:r>
      <w:r>
        <w:rPr>
          <w:i/>
        </w:rPr>
        <w:t>(11)</w:t>
      </w:r>
      <w:r>
        <w:t>. A national claims study covering more than 98% of Japanese healthcare reported 357,877 patients treated with DAAs between fiscal years 2013 and 2022, a 40% fall in the prevalence of care for chronic hepatitis C, and hepatitis C healthcare costs peaking in 2015</w:t>
      </w:r>
      <w:r>
        <w:rPr>
          <w:i/>
        </w:rPr>
        <w:t>(12)</w:t>
      </w:r>
      <w:r>
        <w:t>. Our course estimates are somewhat lower, as expected when one anchor component per regimen is converted with fixed durations, and the timing of the peak agrees; together they suggest the dispensing-based estimates track the treated population reasonably well.</w:t>
      </w:r>
    </w:p>
    <w:p>
      <w:r>
        <w:t>Several factors besides a treatment backlog plausibly contributed to how fast this happened, and the data cannot separate them. The new regimens were shorter, all-oral, and far better tolerated, with cure rates above 90% in Japanese phase 3 studies</w:t>
      </w:r>
      <w:r>
        <w:rPr>
          <w:i/>
        </w:rPr>
        <w:t>(2,4-6)</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rPr>
          <w:i/>
        </w:rPr>
        <w:t>(13-14)</w:t>
      </w:r>
      <w:r>
        <w:t>. Comparison with settings that lack such a scheme is instructive: among insured United States adults diagnosed in 2019-2020, only 23-35% started DAA treatment within a year, varying by payer</w:t>
      </w:r>
      <w:r>
        <w:rPr>
          <w:i/>
        </w:rPr>
        <w:t>(15)</w:t>
      </w:r>
      <w:r>
        <w:t>. Availability alone therefore does not produce the Japanese pattern; the observed speed is most likely the combined effect of a decisively better therapy, prompt NHI listing, and subsidized affordability in a population with a large diagnosed backlog. We measured none of the mechanisms individually, and no measure of news coverage or of exposure to it entered the analysis, so we make no claim about how information reached patients or prescribers.</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Ribavirin cannot be assigned to either therapy, which is why it is reported separately and excluded from course estimates, and conventional interferon is not hepatitis-C-specific. The data are annual, so within-year timing around a listing date is invisible; with 10 observations, no control condition, and no pre-period, the trend models are descriptive and the pre-peak DAA segment in particular rests on two observations.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 so nothing here identifies why any individual was treated when they were.</w:t>
      </w:r>
    </w:p>
    <w:p>
      <w:pPr>
        <w:pStyle w:val="Heading1"/>
      </w:pPr>
      <w:r>
        <w:t>Conclusions</w:t>
      </w:r>
    </w:p>
    <w:p>
      <w:r>
        <w:t>National hepatitis C treatment in Japan moved almost entirely from interferon-based to interferon-free regimens within a year of the first interferon-free reimbursement, and interferon-based dispensing was negligible within about two years. Total estimated treatment volume rose and then fell steeply, as expected when a curative therapy works through a prevalent population. The speed of the switch shows what is possible when a decisively better therapy is listed promptly and made affordable; it does not follow that other therapies, or the same therapy in systems without comparable coverage and subsidy, would be adopted as quickly.</w:t>
      </w:r>
    </w:p>
    <w:p>
      <w:pPr>
        <w:pStyle w:val="Heading1"/>
      </w:pPr>
      <w:r>
        <w:t>Acknowledgments</w:t>
      </w:r>
    </w:p>
    <w:p>
      <w:r>
        <w:t>This research received no specific grant from any funding agency. The authors declare no competing interests. The study used only publicly available, aggregated national open data (NDB Open Data) containing no individual-level or identifiable information; ethics-committee approval was not required. All analysis code, derived datasets, and the figure and manuscript generators are openly available at https://github.com/bougtoir/ndb-dea-drug-lag. The raw NDB Open Data workbooks are published by the Ministry of Health, Labour and Welfare and can be re-downloaded with scripts/download_ndb.py, so the full pipeline reproduces every reported number, figure, and table from the public data. During the preparation of this manuscript the authors used ChatGPT/GPT-4 for language editing and formatting assistance. After using this tool, the authors reviewed and edited the content and take full responsibility for the final manuscript.</w:t>
      </w:r>
    </w:p>
    <w:p>
      <w:pPr>
        <w:pStyle w:val="Heading1"/>
      </w:pPr>
      <w:r>
        <w:t>Biographical Sketch</w:t>
      </w:r>
    </w:p>
    <w:p>
      <w:r>
        <w:t>The first author is a physician-investigator and health services researcher interested in the use of national claims and drug-utilization data to evaluate how new treatments replace older standards of care. Current work focuses on hepatitis C antiviral policy, pharmacoepidemiology, and the translation of real-world dispensing data into public health insight.</w:t>
      </w:r>
    </w:p>
    <w:p>
      <w:pPr>
        <w:pStyle w:val="Heading1"/>
      </w:pPr>
      <w:r>
        <w:t>Address for Correspondence</w:t>
      </w:r>
    </w:p>
    <w:p>
      <w:r>
        <w:t>[To be completed by the authors: corresponding author name, full postal address, email address, and telephone number.]</w:t>
      </w:r>
    </w:p>
    <w:p>
      <w:pPr>
        <w:pStyle w:val="Heading1"/>
      </w:pPr>
      <w:r>
        <w:t>References</w:t>
      </w:r>
    </w:p>
    <w:p>
      <w:pPr>
        <w:ind w:left="432" w:hanging="432"/>
      </w:pPr>
      <w:r>
        <w:t>1. Tanaka M, Idei M, Sakaguchi H, Kato R, Sato D, Sawanobori K, et al. Evolving landscape of new drug approval in Japan and lags from international birth dates: retrospective regulatory analysis. Clin Pharmacol Ther. 2021;109(5):1265-1273.</w:t>
      </w:r>
    </w:p>
    <w:p>
      <w:pPr>
        <w:ind w:left="432" w:hanging="432"/>
      </w:pPr>
      <w:r>
        <w:t>2. Drafting Committee for Hepatitis Management Guidelines, the Japan Society of Hepatology. Japan Society of Hepatology guidelines for the management of hepatitis C virus infection: 2019 update. Hepatol Res. 2020;50(7):791-816.</w:t>
      </w:r>
    </w:p>
    <w:p>
      <w:pPr>
        <w:ind w:left="432" w:hanging="432"/>
      </w:pPr>
      <w:r>
        <w:t>3. Bristol-Myers Squibb K.K. Press release: approval in Japan of Daklinza (daclatasvir) and Sunvepra (asunaprevir), the world's first all-oral, interferon- and ribavirin-free treatment for chronic hepatitis C. 4 July 2014. [cited 12 Sep 2026]. https://www.bms.com/jp/media/press-release-listing/press-release-listing-2014/20140704.html</w:t>
      </w:r>
    </w:p>
    <w:p>
      <w:pPr>
        <w:ind w:left="432" w:hanging="432"/>
      </w:pPr>
      <w:r>
        <w:t>4. Kumada H, Suzuki Y, Ikeda K, Toyota J, Karino Y, Chayama K, et al. Daclatasvir plus asunaprevir for chronic HCV genotype 1b infection. Hepatology. 2014;59(6):2083-2091.</w:t>
      </w:r>
    </w:p>
    <w:p>
      <w:pPr>
        <w:ind w:left="432" w:hanging="432"/>
      </w:pPr>
      <w:r>
        <w:t>5. Omata M, Nishiguchi S, Ueno Y, Mochizuki H, Izumi N, Ikeda F, et al. Sofosbuvir plus ribavirin in Japanese patients with chronic genotype 2 HCV infection: an open-label, phase 3 trial. J Viral Hepat. 2014;21(11):762-768.</w:t>
      </w:r>
    </w:p>
    <w:p>
      <w:pPr>
        <w:ind w:left="432" w:hanging="432"/>
      </w:pPr>
      <w:r>
        <w:t>6. Mizokami M, Yokosuka O, Takehara T, Sakamoto N, Korenaga M, Mochizuki H, et al. Ledipasvir and sofosbuvir fixed-dose combination with and without ribavirin for 12 weeks in treatment-naive and previously treated Japanese patients with genotype 1 hepatitis C: an open-label, randomised, phase 3 trial. Lancet Infect Dis. 2015;15(6):645-653.</w:t>
      </w:r>
    </w:p>
    <w:p>
      <w:pPr>
        <w:ind w:left="432" w:hanging="432"/>
      </w:pPr>
      <w:r>
        <w:t>7. Ministry of Health, Labour and Welfare (Japan). NDB Open Data (1st-10th editions). [cited 12 Sep 2026]. https://www.mhlw.go.jp/stf/seisakunitsuite/bunya/0000177182.html</w:t>
      </w:r>
    </w:p>
    <w:p>
      <w:pPr>
        <w:ind w:left="432" w:hanging="432"/>
      </w:pPr>
      <w:r>
        <w:t>8. Ministry of Health, Labour and Welfare (Japan), Central Social Insurance Medical Council (Chuikyo). Records of National Health Insurance drug-price listings of direct-acting antivirals for hepatitis C, 2014-2017 (Chuikyo plenary minutes and Health Insurance Bureau notifications; see data/announcement_events.csv for the document cited for each date). [cited 12 Sep 2026]. https://www.mhlw.go.jp/stf/shingi/shingi-chuo_128154.html</w:t>
      </w:r>
    </w:p>
    <w:p>
      <w:pPr>
        <w:ind w:left="432" w:hanging="432"/>
      </w:pPr>
      <w:r>
        <w:t>9. Newey WK, West KD. A simple, positive semi-definite, heteroskedasticity and autocorrelation consistent covariance matrix. Econometrica. 1987;55(3):703-708.</w:t>
      </w:r>
    </w:p>
    <w:p>
      <w:pPr>
        <w:ind w:left="432" w:hanging="432"/>
      </w:pPr>
      <w:r>
        <w:t>10. Efron B, Tibshirani RJ. An Introduction to the Bootstrap. New York: Chapman &amp; Hall; 1993.</w:t>
      </w:r>
    </w:p>
    <w:p>
      <w:pPr>
        <w:ind w:left="432" w:hanging="432"/>
      </w:pPr>
      <w:r>
        <w:t>11. Tanaka J, Akita T, Ohisa M, Sakamune K, Ko K, Uchida S, et al. Trends in the total numbers of HBV and HCV carriers in Japan from 2000 to 2011. J Viral Hepat. 2018;25(4):363-372.</w:t>
      </w:r>
    </w:p>
    <w:p>
      <w:pPr>
        <w:ind w:left="432" w:hanging="432"/>
      </w:pPr>
      <w:r>
        <w:t>12. Yamashita S, Kanda N, Hashimoto H, Yoshimoto H, Goda K, Mitsutake N, et al. Trends in the healthcare burden of hepatitis C after the introduction of direct-acting antivirals in Japan, 2013-2022: a national claims database study in Japan. Int J Infect Dis. 2025;160:108043.</w:t>
      </w:r>
    </w:p>
    <w:p>
      <w:pPr>
        <w:ind w:left="432" w:hanging="432"/>
      </w:pPr>
      <w:r>
        <w:t>13. Ministry of Health, Labour and Welfare (Japan). Special program for the promotion of hepatitis treatment (medical-expense subsidy for antiviral treatment of viral hepatitis). [cited 12 Sep 2026]. https://www.mhlw.go.jp/stf/seisakunitsuite/bunya/kenkou_iryou/kenkou/kekkaku-kansenshou/kanen/kangan/iryouhijyosei.html</w:t>
      </w:r>
    </w:p>
    <w:p>
      <w:pPr>
        <w:ind w:left="432" w:hanging="432"/>
      </w:pPr>
      <w:r>
        <w:t>14. Setoyama H, Tanaka Y, Kanto T. Seamless support from screening to anti-HCV treatment and HCC/decompensated cirrhosis: subsidy programs for HCV elimination. Glob Health Med. 2021;3(5):335-342.</w:t>
      </w:r>
    </w:p>
    <w:p>
      <w:pPr>
        <w:ind w:left="432" w:hanging="432"/>
      </w:pPr>
      <w:r>
        <w:t>15. Thompson WW, Symum H, Sandul A, Gupta N, Patel P, Nelson N, et al. Vital signs: hepatitis C treatment among insured adults - United States, 2019-2020. MMWR Morb Mortal Wkly Rep. 2022;71(32):1011-1017.</w:t>
      </w:r>
    </w:p>
    <w:p>
      <w:r>
        <w:br w:type="page"/>
      </w:r>
    </w:p>
    <w:p>
      <w:pPr>
        <w:pStyle w:val="Heading1"/>
      </w:pPr>
      <w:r>
        <w:t>Tables</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872"/>
        <w:gridCol w:w="1872"/>
        <w:gridCol w:w="1872"/>
        <w:gridCol w:w="1872"/>
        <w:gridCol w:w="1872"/>
      </w:tblGrid>
      <w:tr>
        <w:tc>
          <w:tcPr>
            <w:tcW w:type="dxa" w:w="1872"/>
          </w:tcPr>
          <w:p>
            <w:r>
              <w:rPr>
                <w:b/>
                <w:sz w:val="15"/>
              </w:rPr>
              <w:t>FY</w:t>
            </w:r>
          </w:p>
        </w:tc>
        <w:tc>
          <w:tcPr>
            <w:tcW w:type="dxa" w:w="1872"/>
          </w:tcPr>
          <w:p>
            <w:r>
              <w:rPr>
                <w:b/>
                <w:sz w:val="15"/>
              </w:rPr>
              <w:t>Date</w:t>
            </w:r>
          </w:p>
        </w:tc>
        <w:tc>
          <w:tcPr>
            <w:tcW w:type="dxa" w:w="1872"/>
          </w:tcPr>
          <w:p>
            <w:r>
              <w:rPr>
                <w:b/>
                <w:sz w:val="15"/>
              </w:rPr>
              <w:t>Drug</w:t>
            </w:r>
          </w:p>
        </w:tc>
        <w:tc>
          <w:tcPr>
            <w:tcW w:type="dxa" w:w="1872"/>
          </w:tcPr>
          <w:p>
            <w:r>
              <w:rPr>
                <w:b/>
                <w:sz w:val="15"/>
              </w:rPr>
              <w:t>Milestone</w:t>
            </w:r>
          </w:p>
        </w:tc>
        <w:tc>
          <w:tcPr>
            <w:tcW w:type="dxa" w:w="1872"/>
          </w:tcPr>
          <w:p>
            <w:r>
              <w:rPr>
                <w:b/>
                <w:sz w:val="15"/>
              </w:rPr>
              <w:t>Source</w:t>
            </w:r>
          </w:p>
        </w:tc>
      </w:tr>
      <w:tr>
        <w:tc>
          <w:tcPr>
            <w:tcW w:type="dxa" w:w="1872"/>
          </w:tcPr>
          <w:p>
            <w:r>
              <w:rPr>
                <w:sz w:val="15"/>
              </w:rPr>
              <w:t>2014</w:t>
            </w:r>
          </w:p>
        </w:tc>
        <w:tc>
          <w:tcPr>
            <w:tcW w:type="dxa" w:w="1872"/>
          </w:tcPr>
          <w:p>
            <w:r>
              <w:rPr>
                <w:sz w:val="15"/>
              </w:rPr>
              <w:t>2014-07-04</w:t>
            </w:r>
          </w:p>
        </w:tc>
        <w:tc>
          <w:tcPr>
            <w:tcW w:type="dxa" w:w="1872"/>
          </w:tcPr>
          <w:p>
            <w:r>
              <w:rPr>
                <w:sz w:val="15"/>
              </w:rPr>
              <w:t>daclatasvir + asunaprevir</w:t>
            </w:r>
          </w:p>
        </w:tc>
        <w:tc>
          <w:tcPr>
            <w:tcW w:type="dxa" w:w="1872"/>
          </w:tcPr>
          <w:p>
            <w:r>
              <w:rPr>
                <w:sz w:val="15"/>
              </w:rPr>
              <w:t>approval</w:t>
            </w:r>
          </w:p>
        </w:tc>
        <w:tc>
          <w:tcPr>
            <w:tcW w:type="dxa" w:w="1872"/>
          </w:tcPr>
          <w:p>
            <w:r>
              <w:rPr>
                <w:sz w:val="15"/>
              </w:rPr>
              <w:t>Approval date 2014-07-04 (asunaprevir and daclatasvir package inserts); Bristol-Myers Squibb K.K. press release, 2014-07-04</w:t>
            </w:r>
          </w:p>
        </w:tc>
      </w:tr>
      <w:tr>
        <w:tc>
          <w:tcPr>
            <w:tcW w:type="dxa" w:w="1872"/>
          </w:tcPr>
          <w:p>
            <w:r>
              <w:rPr>
                <w:sz w:val="15"/>
              </w:rPr>
              <w:t>2014</w:t>
            </w:r>
          </w:p>
        </w:tc>
        <w:tc>
          <w:tcPr>
            <w:tcW w:type="dxa" w:w="1872"/>
          </w:tcPr>
          <w:p>
            <w:r>
              <w:rPr>
                <w:sz w:val="15"/>
              </w:rPr>
              <w:t>2014-09-02</w:t>
            </w:r>
          </w:p>
        </w:tc>
        <w:tc>
          <w:tcPr>
            <w:tcW w:type="dxa" w:w="1872"/>
          </w:tcPr>
          <w:p>
            <w:r>
              <w:rPr>
                <w:sz w:val="15"/>
              </w:rPr>
              <w:t>daclatasvir + asunaprevir</w:t>
            </w:r>
          </w:p>
        </w:tc>
        <w:tc>
          <w:tcPr>
            <w:tcW w:type="dxa" w:w="1872"/>
          </w:tcPr>
          <w:p>
            <w:r>
              <w:rPr>
                <w:sz w:val="15"/>
              </w:rPr>
              <w:t>NHI listing</w:t>
            </w:r>
          </w:p>
        </w:tc>
        <w:tc>
          <w:tcPr>
            <w:tcW w:type="dxa" w:w="1872"/>
          </w:tcPr>
          <w:p>
            <w:r>
              <w:rPr>
                <w:sz w:val="15"/>
              </w:rPr>
              <w:t>NHI drug-price listing date 2014-09-02 (asunaprevir and daclatasvir package inserts); market launch 2014-09-03 (Bristol-Myers Squibb K.K. press release)</w:t>
            </w:r>
          </w:p>
        </w:tc>
      </w:tr>
      <w:tr>
        <w:tc>
          <w:tcPr>
            <w:tcW w:type="dxa" w:w="1872"/>
          </w:tcPr>
          <w:p>
            <w:r>
              <w:rPr>
                <w:sz w:val="15"/>
              </w:rPr>
              <w:t>2015</w:t>
            </w:r>
          </w:p>
        </w:tc>
        <w:tc>
          <w:tcPr>
            <w:tcW w:type="dxa" w:w="1872"/>
          </w:tcPr>
          <w:p>
            <w:r>
              <w:rPr>
                <w:sz w:val="15"/>
              </w:rPr>
              <w:t>2015-03-26</w:t>
            </w:r>
          </w:p>
        </w:tc>
        <w:tc>
          <w:tcPr>
            <w:tcW w:type="dxa" w:w="1872"/>
          </w:tcPr>
          <w:p>
            <w:r>
              <w:rPr>
                <w:sz w:val="15"/>
              </w:rPr>
              <w:t>sofosbuvir</w:t>
            </w:r>
          </w:p>
        </w:tc>
        <w:tc>
          <w:tcPr>
            <w:tcW w:type="dxa" w:w="1872"/>
          </w:tcPr>
          <w:p>
            <w:r>
              <w:rPr>
                <w:sz w:val="15"/>
              </w:rPr>
              <w:t>approval</w:t>
            </w:r>
          </w:p>
        </w:tc>
        <w:tc>
          <w:tcPr>
            <w:tcW w:type="dxa" w:w="1872"/>
          </w:tcPr>
          <w:p>
            <w:r>
              <w:rPr>
                <w:sz w:val="15"/>
              </w:rPr>
              <w:t>Sofosbuvir approval date 2015-03-26 (package insert / interview form)</w:t>
            </w:r>
          </w:p>
        </w:tc>
      </w:tr>
      <w:tr>
        <w:tc>
          <w:tcPr>
            <w:tcW w:type="dxa" w:w="1872"/>
          </w:tcPr>
          <w:p>
            <w:r>
              <w:rPr>
                <w:sz w:val="15"/>
              </w:rPr>
              <w:t>2015</w:t>
            </w:r>
          </w:p>
        </w:tc>
        <w:tc>
          <w:tcPr>
            <w:tcW w:type="dxa" w:w="1872"/>
          </w:tcPr>
          <w:p>
            <w:r>
              <w:rPr>
                <w:sz w:val="15"/>
              </w:rPr>
              <w:t>2015-05-20</w:t>
            </w:r>
          </w:p>
        </w:tc>
        <w:tc>
          <w:tcPr>
            <w:tcW w:type="dxa" w:w="1872"/>
          </w:tcPr>
          <w:p>
            <w:r>
              <w:rPr>
                <w:sz w:val="15"/>
              </w:rPr>
              <w:t>sofosbuvir</w:t>
            </w:r>
          </w:p>
        </w:tc>
        <w:tc>
          <w:tcPr>
            <w:tcW w:type="dxa" w:w="1872"/>
          </w:tcPr>
          <w:p>
            <w:r>
              <w:rPr>
                <w:sz w:val="15"/>
              </w:rPr>
              <w:t>NHI listing</w:t>
            </w:r>
          </w:p>
        </w:tc>
        <w:tc>
          <w:tcPr>
            <w:tcW w:type="dxa" w:w="1872"/>
          </w:tcPr>
          <w:p>
            <w:r>
              <w:rPr>
                <w:sz w:val="15"/>
              </w:rPr>
              <w:t>NHI listing 2015-05-20 (Chuikyo plenary decision 2015-05-13; MHLW Health Insurance Bureau notification Ho-i-hatsu 0519 No. 1)</w:t>
            </w:r>
          </w:p>
        </w:tc>
      </w:tr>
      <w:tr>
        <w:tc>
          <w:tcPr>
            <w:tcW w:type="dxa" w:w="1872"/>
          </w:tcPr>
          <w:p>
            <w:r>
              <w:rPr>
                <w:sz w:val="15"/>
              </w:rPr>
              <w:t>2015</w:t>
            </w:r>
          </w:p>
        </w:tc>
        <w:tc>
          <w:tcPr>
            <w:tcW w:type="dxa" w:w="1872"/>
          </w:tcPr>
          <w:p>
            <w:r>
              <w:rPr>
                <w:sz w:val="15"/>
              </w:rPr>
              <w:t>2015-07-03</w:t>
            </w:r>
          </w:p>
        </w:tc>
        <w:tc>
          <w:tcPr>
            <w:tcW w:type="dxa" w:w="1872"/>
          </w:tcPr>
          <w:p>
            <w:r>
              <w:rPr>
                <w:sz w:val="15"/>
              </w:rPr>
              <w:t>ledipasvir/sofosbuvir</w:t>
            </w:r>
          </w:p>
        </w:tc>
        <w:tc>
          <w:tcPr>
            <w:tcW w:type="dxa" w:w="1872"/>
          </w:tcPr>
          <w:p>
            <w:r>
              <w:rPr>
                <w:sz w:val="15"/>
              </w:rPr>
              <w:t>approval</w:t>
            </w:r>
          </w:p>
        </w:tc>
        <w:tc>
          <w:tcPr>
            <w:tcW w:type="dxa" w:w="1872"/>
          </w:tcPr>
          <w:p>
            <w:r>
              <w:rPr>
                <w:sz w:val="15"/>
              </w:rPr>
              <w:t>MHLW marketing approval 2015-07-03 (package insert; reported by Asahi Shimbun, 2015-07-04)</w:t>
            </w:r>
          </w:p>
        </w:tc>
      </w:tr>
      <w:tr>
        <w:tc>
          <w:tcPr>
            <w:tcW w:type="dxa" w:w="1872"/>
          </w:tcPr>
          <w:p>
            <w:r>
              <w:rPr>
                <w:sz w:val="15"/>
              </w:rPr>
              <w:t>2015</w:t>
            </w:r>
          </w:p>
        </w:tc>
        <w:tc>
          <w:tcPr>
            <w:tcW w:type="dxa" w:w="1872"/>
          </w:tcPr>
          <w:p>
            <w:r>
              <w:rPr>
                <w:sz w:val="15"/>
              </w:rPr>
              <w:t>2015-08-31</w:t>
            </w:r>
          </w:p>
        </w:tc>
        <w:tc>
          <w:tcPr>
            <w:tcW w:type="dxa" w:w="1872"/>
          </w:tcPr>
          <w:p>
            <w:r>
              <w:rPr>
                <w:sz w:val="15"/>
              </w:rPr>
              <w:t>ledipasvir/sofosbuvir</w:t>
            </w:r>
          </w:p>
        </w:tc>
        <w:tc>
          <w:tcPr>
            <w:tcW w:type="dxa" w:w="1872"/>
          </w:tcPr>
          <w:p>
            <w:r>
              <w:rPr>
                <w:sz w:val="15"/>
              </w:rPr>
              <w:t>NHI listing</w:t>
            </w:r>
          </w:p>
        </w:tc>
        <w:tc>
          <w:tcPr>
            <w:tcW w:type="dxa" w:w="1872"/>
          </w:tcPr>
          <w:p>
            <w:r>
              <w:rPr>
                <w:sz w:val="15"/>
              </w:rPr>
              <w:t>Ledipasvir/sofosbuvir NHI drug-price listing date 2015-08-31 (package insert)</w:t>
            </w:r>
          </w:p>
        </w:tc>
      </w:tr>
      <w:tr>
        <w:tc>
          <w:tcPr>
            <w:tcW w:type="dxa" w:w="1872"/>
          </w:tcPr>
          <w:p>
            <w:r>
              <w:rPr>
                <w:sz w:val="15"/>
              </w:rPr>
              <w:t>2017</w:t>
            </w:r>
          </w:p>
        </w:tc>
        <w:tc>
          <w:tcPr>
            <w:tcW w:type="dxa" w:w="1872"/>
          </w:tcPr>
          <w:p>
            <w:r>
              <w:rPr>
                <w:sz w:val="15"/>
              </w:rPr>
              <w:t>2017-09-27</w:t>
            </w:r>
          </w:p>
        </w:tc>
        <w:tc>
          <w:tcPr>
            <w:tcW w:type="dxa" w:w="1872"/>
          </w:tcPr>
          <w:p>
            <w:r>
              <w:rPr>
                <w:sz w:val="15"/>
              </w:rPr>
              <w:t>glecaprevir/pibrentasvir</w:t>
            </w:r>
          </w:p>
        </w:tc>
        <w:tc>
          <w:tcPr>
            <w:tcW w:type="dxa" w:w="1872"/>
          </w:tcPr>
          <w:p>
            <w:r>
              <w:rPr>
                <w:sz w:val="15"/>
              </w:rPr>
              <w:t>approval</w:t>
            </w:r>
          </w:p>
        </w:tc>
        <w:tc>
          <w:tcPr>
            <w:tcW w:type="dxa" w:w="1872"/>
          </w:tcPr>
          <w:p>
            <w:r>
              <w:rPr>
                <w:sz w:val="15"/>
              </w:rPr>
              <w:t>Marketing approval 2017-09-27 (PMDA/MHLW; AbbVie GK)</w:t>
            </w:r>
          </w:p>
        </w:tc>
      </w:tr>
      <w:tr>
        <w:tc>
          <w:tcPr>
            <w:tcW w:type="dxa" w:w="1872"/>
          </w:tcPr>
          <w:p>
            <w:r>
              <w:rPr>
                <w:sz w:val="15"/>
              </w:rPr>
              <w:t>2017</w:t>
            </w:r>
          </w:p>
        </w:tc>
        <w:tc>
          <w:tcPr>
            <w:tcW w:type="dxa" w:w="1872"/>
          </w:tcPr>
          <w:p>
            <w:r>
              <w:rPr>
                <w:sz w:val="15"/>
              </w:rPr>
              <w:t>2017-11-22</w:t>
            </w:r>
          </w:p>
        </w:tc>
        <w:tc>
          <w:tcPr>
            <w:tcW w:type="dxa" w:w="1872"/>
          </w:tcPr>
          <w:p>
            <w:r>
              <w:rPr>
                <w:sz w:val="15"/>
              </w:rPr>
              <w:t>glecaprevir/pibrentasvir</w:t>
            </w:r>
          </w:p>
        </w:tc>
        <w:tc>
          <w:tcPr>
            <w:tcW w:type="dxa" w:w="1872"/>
          </w:tcPr>
          <w:p>
            <w:r>
              <w:rPr>
                <w:sz w:val="15"/>
              </w:rPr>
              <w:t>NHI listing</w:t>
            </w:r>
          </w:p>
        </w:tc>
        <w:tc>
          <w:tcPr>
            <w:tcW w:type="dxa" w:w="1872"/>
          </w:tcPr>
          <w:p>
            <w:r>
              <w:rPr>
                <w:sz w:val="15"/>
              </w:rPr>
              <w:t>Glecaprevir/pibrentasvir NHI drug-price listing date 2017-11-22 (Chuikyo plenary decision 2017-11-15; package insert); market launch 2017-11-27</w:t>
            </w:r>
          </w:p>
        </w:tc>
      </w:tr>
    </w:tbl>
    <w:p>
      <w:r>
        <w:br w:type="page"/>
      </w:r>
    </w:p>
    <w:p>
      <w:pPr>
        <w:spacing w:before="280"/>
      </w:pPr>
      <w:r>
        <w:rPr>
          <w:b/>
          <w:sz w:val="18"/>
        </w:rPr>
        <w:t>Table 2. National dispensed quantity by drug group and fiscal year (NDB Open Data). Units differ across groups and are not additive.</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0"/>
        <w:gridCol w:w="1560"/>
        <w:gridCol w:w="1560"/>
        <w:gridCol w:w="1560"/>
        <w:gridCol w:w="1560"/>
        <w:gridCol w:w="1560"/>
      </w:tblGrid>
      <w:tr>
        <w:tc>
          <w:tcPr>
            <w:tcW w:type="dxa" w:w="1560"/>
          </w:tcPr>
          <w:p>
            <w:r>
              <w:rPr>
                <w:b/>
                <w:sz w:val="15"/>
              </w:rPr>
              <w:t>Fiscal year</w:t>
            </w:r>
          </w:p>
        </w:tc>
        <w:tc>
          <w:tcPr>
            <w:tcW w:type="dxa" w:w="1560"/>
          </w:tcPr>
          <w:p>
            <w:r>
              <w:rPr>
                <w:b/>
                <w:sz w:val="15"/>
              </w:rPr>
              <w:t>Peginterferon (syringes)</w:t>
            </w:r>
          </w:p>
        </w:tc>
        <w:tc>
          <w:tcPr>
            <w:tcW w:type="dxa" w:w="1560"/>
          </w:tcPr>
          <w:p>
            <w:r>
              <w:rPr>
                <w:b/>
                <w:sz w:val="15"/>
              </w:rPr>
              <w:t>First-generation protease inhibitors (with peginterferon)</w:t>
            </w:r>
          </w:p>
        </w:tc>
        <w:tc>
          <w:tcPr>
            <w:tcW w:type="dxa" w:w="1560"/>
          </w:tcPr>
          <w:p>
            <w:r>
              <w:rPr>
                <w:b/>
                <w:sz w:val="15"/>
              </w:rPr>
              <w:t>Conventional interferon (not hepatitis-C-specific)</w:t>
            </w:r>
          </w:p>
        </w:tc>
        <w:tc>
          <w:tcPr>
            <w:tcW w:type="dxa" w:w="1560"/>
          </w:tcPr>
          <w:p>
            <w:r>
              <w:rPr>
                <w:b/>
                <w:sz w:val="15"/>
              </w:rPr>
              <w:t>Ribavirin (both regimens)</w:t>
            </w:r>
          </w:p>
        </w:tc>
        <w:tc>
          <w:tcPr>
            <w:tcW w:type="dxa" w:w="1560"/>
          </w:tcPr>
          <w:p>
            <w:r>
              <w:rPr>
                <w:b/>
                <w:sz w:val="15"/>
              </w:rPr>
              <w:t>Interferon-free DAA total</w:t>
            </w:r>
          </w:p>
        </w:tc>
      </w:tr>
      <w:tr>
        <w:tc>
          <w:tcPr>
            <w:tcW w:type="dxa" w:w="1560"/>
          </w:tcPr>
          <w:p>
            <w:r>
              <w:rPr>
                <w:sz w:val="15"/>
              </w:rPr>
              <w:t>2014</w:t>
            </w:r>
          </w:p>
        </w:tc>
        <w:tc>
          <w:tcPr>
            <w:tcW w:type="dxa" w:w="1560"/>
          </w:tcPr>
          <w:p>
            <w:r>
              <w:rPr>
                <w:sz w:val="15"/>
              </w:rPr>
              <w:t>619,333</w:t>
            </w:r>
          </w:p>
        </w:tc>
        <w:tc>
          <w:tcPr>
            <w:tcW w:type="dxa" w:w="1560"/>
          </w:tcPr>
          <w:p>
            <w:r>
              <w:rPr>
                <w:sz w:val="15"/>
              </w:rPr>
              <w:t>826,748</w:t>
            </w:r>
          </w:p>
        </w:tc>
        <w:tc>
          <w:tcPr>
            <w:tcW w:type="dxa" w:w="1560"/>
          </w:tcPr>
          <w:p>
            <w:r>
              <w:rPr>
                <w:sz w:val="15"/>
              </w:rPr>
              <w:t>326,802</w:t>
            </w:r>
          </w:p>
        </w:tc>
        <w:tc>
          <w:tcPr>
            <w:tcW w:type="dxa" w:w="1560"/>
          </w:tcPr>
          <w:p>
            <w:r>
              <w:rPr>
                <w:sz w:val="15"/>
              </w:rPr>
              <w:t>10,166,159</w:t>
            </w:r>
          </w:p>
        </w:tc>
        <w:tc>
          <w:tcPr>
            <w:tcW w:type="dxa" w:w="1560"/>
          </w:tcPr>
          <w:p>
            <w:r>
              <w:rPr>
                <w:sz w:val="15"/>
              </w:rPr>
              <w:t>6,736,616</w:t>
            </w:r>
          </w:p>
        </w:tc>
      </w:tr>
      <w:tr>
        <w:tc>
          <w:tcPr>
            <w:tcW w:type="dxa" w:w="1560"/>
          </w:tcPr>
          <w:p>
            <w:r>
              <w:rPr>
                <w:sz w:val="15"/>
              </w:rPr>
              <w:t>2015</w:t>
            </w:r>
          </w:p>
        </w:tc>
        <w:tc>
          <w:tcPr>
            <w:tcW w:type="dxa" w:w="1560"/>
          </w:tcPr>
          <w:p>
            <w:r>
              <w:rPr>
                <w:sz w:val="15"/>
              </w:rPr>
              <w:t>131,081</w:t>
            </w:r>
          </w:p>
        </w:tc>
        <w:tc>
          <w:tcPr>
            <w:tcW w:type="dxa" w:w="1560"/>
          </w:tcPr>
          <w:p>
            <w:r>
              <w:rPr>
                <w:sz w:val="15"/>
              </w:rPr>
              <w:t>173,122</w:t>
            </w:r>
          </w:p>
        </w:tc>
        <w:tc>
          <w:tcPr>
            <w:tcW w:type="dxa" w:w="1560"/>
          </w:tcPr>
          <w:p>
            <w:r>
              <w:rPr>
                <w:sz w:val="15"/>
              </w:rPr>
              <w:t>224,563</w:t>
            </w:r>
          </w:p>
        </w:tc>
        <w:tc>
          <w:tcPr>
            <w:tcW w:type="dxa" w:w="1560"/>
          </w:tcPr>
          <w:p>
            <w:r>
              <w:rPr>
                <w:sz w:val="15"/>
              </w:rPr>
              <w:t>8,100,850</w:t>
            </w:r>
          </w:p>
        </w:tc>
        <w:tc>
          <w:tcPr>
            <w:tcW w:type="dxa" w:w="1560"/>
          </w:tcPr>
          <w:p>
            <w:r>
              <w:rPr>
                <w:sz w:val="15"/>
              </w:rPr>
              <w:t>19,374,861</w:t>
            </w:r>
          </w:p>
        </w:tc>
      </w:tr>
      <w:tr>
        <w:tc>
          <w:tcPr>
            <w:tcW w:type="dxa" w:w="1560"/>
          </w:tcPr>
          <w:p>
            <w:r>
              <w:rPr>
                <w:sz w:val="15"/>
              </w:rPr>
              <w:t>2016</w:t>
            </w:r>
          </w:p>
        </w:tc>
        <w:tc>
          <w:tcPr>
            <w:tcW w:type="dxa" w:w="1560"/>
          </w:tcPr>
          <w:p>
            <w:r>
              <w:rPr>
                <w:sz w:val="15"/>
              </w:rPr>
              <w:t>33,688</w:t>
            </w:r>
          </w:p>
        </w:tc>
        <w:tc>
          <w:tcPr>
            <w:tcW w:type="dxa" w:w="1560"/>
          </w:tcPr>
          <w:p>
            <w:r>
              <w:rPr>
                <w:sz w:val="15"/>
              </w:rPr>
              <w:t>0</w:t>
            </w:r>
          </w:p>
        </w:tc>
        <w:tc>
          <w:tcPr>
            <w:tcW w:type="dxa" w:w="1560"/>
          </w:tcPr>
          <w:p>
            <w:r>
              <w:rPr>
                <w:sz w:val="15"/>
              </w:rPr>
              <w:t>168,967</w:t>
            </w:r>
          </w:p>
        </w:tc>
        <w:tc>
          <w:tcPr>
            <w:tcW w:type="dxa" w:w="1560"/>
          </w:tcPr>
          <w:p>
            <w:r>
              <w:rPr>
                <w:sz w:val="15"/>
              </w:rPr>
              <w:t>4,849,660</w:t>
            </w:r>
          </w:p>
        </w:tc>
        <w:tc>
          <w:tcPr>
            <w:tcW w:type="dxa" w:w="1560"/>
          </w:tcPr>
          <w:p>
            <w:r>
              <w:rPr>
                <w:sz w:val="15"/>
              </w:rPr>
              <w:t>6,783,118</w:t>
            </w:r>
          </w:p>
        </w:tc>
      </w:tr>
      <w:tr>
        <w:tc>
          <w:tcPr>
            <w:tcW w:type="dxa" w:w="1560"/>
          </w:tcPr>
          <w:p>
            <w:r>
              <w:rPr>
                <w:sz w:val="15"/>
              </w:rPr>
              <w:t>2017</w:t>
            </w:r>
          </w:p>
        </w:tc>
        <w:tc>
          <w:tcPr>
            <w:tcW w:type="dxa" w:w="1560"/>
          </w:tcPr>
          <w:p>
            <w:r>
              <w:rPr>
                <w:sz w:val="15"/>
              </w:rPr>
              <w:t>21,176</w:t>
            </w:r>
          </w:p>
        </w:tc>
        <w:tc>
          <w:tcPr>
            <w:tcW w:type="dxa" w:w="1560"/>
          </w:tcPr>
          <w:p>
            <w:r>
              <w:rPr>
                <w:sz w:val="15"/>
              </w:rPr>
              <w:t>0</w:t>
            </w:r>
          </w:p>
        </w:tc>
        <w:tc>
          <w:tcPr>
            <w:tcW w:type="dxa" w:w="1560"/>
          </w:tcPr>
          <w:p>
            <w:r>
              <w:rPr>
                <w:sz w:val="15"/>
              </w:rPr>
              <w:t>130,383</w:t>
            </w:r>
          </w:p>
        </w:tc>
        <w:tc>
          <w:tcPr>
            <w:tcW w:type="dxa" w:w="1560"/>
          </w:tcPr>
          <w:p>
            <w:r>
              <w:rPr>
                <w:sz w:val="15"/>
              </w:rPr>
              <w:t>2,687,890</w:t>
            </w:r>
          </w:p>
        </w:tc>
        <w:tc>
          <w:tcPr>
            <w:tcW w:type="dxa" w:w="1560"/>
          </w:tcPr>
          <w:p>
            <w:r>
              <w:rPr>
                <w:sz w:val="15"/>
              </w:rPr>
              <w:t>5,062,848</w:t>
            </w:r>
          </w:p>
        </w:tc>
      </w:tr>
      <w:tr>
        <w:tc>
          <w:tcPr>
            <w:tcW w:type="dxa" w:w="1560"/>
          </w:tcPr>
          <w:p>
            <w:r>
              <w:rPr>
                <w:sz w:val="15"/>
              </w:rPr>
              <w:t>2018</w:t>
            </w:r>
          </w:p>
        </w:tc>
        <w:tc>
          <w:tcPr>
            <w:tcW w:type="dxa" w:w="1560"/>
          </w:tcPr>
          <w:p>
            <w:r>
              <w:rPr>
                <w:sz w:val="15"/>
              </w:rPr>
              <w:t>14,162</w:t>
            </w:r>
          </w:p>
        </w:tc>
        <w:tc>
          <w:tcPr>
            <w:tcW w:type="dxa" w:w="1560"/>
          </w:tcPr>
          <w:p>
            <w:r>
              <w:rPr>
                <w:sz w:val="15"/>
              </w:rPr>
              <w:t>0</w:t>
            </w:r>
          </w:p>
        </w:tc>
        <w:tc>
          <w:tcPr>
            <w:tcW w:type="dxa" w:w="1560"/>
          </w:tcPr>
          <w:p>
            <w:r>
              <w:rPr>
                <w:sz w:val="15"/>
              </w:rPr>
              <w:t>103,120</w:t>
            </w:r>
          </w:p>
        </w:tc>
        <w:tc>
          <w:tcPr>
            <w:tcW w:type="dxa" w:w="1560"/>
          </w:tcPr>
          <w:p>
            <w:r>
              <w:rPr>
                <w:sz w:val="15"/>
              </w:rPr>
              <w:t>3,124</w:t>
            </w:r>
          </w:p>
        </w:tc>
        <w:tc>
          <w:tcPr>
            <w:tcW w:type="dxa" w:w="1560"/>
          </w:tcPr>
          <w:p>
            <w:r>
              <w:rPr>
                <w:sz w:val="15"/>
              </w:rPr>
              <w:t>5,051,120</w:t>
            </w:r>
          </w:p>
        </w:tc>
      </w:tr>
      <w:tr>
        <w:tc>
          <w:tcPr>
            <w:tcW w:type="dxa" w:w="1560"/>
          </w:tcPr>
          <w:p>
            <w:r>
              <w:rPr>
                <w:sz w:val="15"/>
              </w:rPr>
              <w:t>2019</w:t>
            </w:r>
          </w:p>
        </w:tc>
        <w:tc>
          <w:tcPr>
            <w:tcW w:type="dxa" w:w="1560"/>
          </w:tcPr>
          <w:p>
            <w:r>
              <w:rPr>
                <w:sz w:val="15"/>
              </w:rPr>
              <w:t>10,961</w:t>
            </w:r>
          </w:p>
        </w:tc>
        <w:tc>
          <w:tcPr>
            <w:tcW w:type="dxa" w:w="1560"/>
          </w:tcPr>
          <w:p>
            <w:r>
              <w:rPr>
                <w:sz w:val="15"/>
              </w:rPr>
              <w:t>0</w:t>
            </w:r>
          </w:p>
        </w:tc>
        <w:tc>
          <w:tcPr>
            <w:tcW w:type="dxa" w:w="1560"/>
          </w:tcPr>
          <w:p>
            <w:r>
              <w:rPr>
                <w:sz w:val="15"/>
              </w:rPr>
              <w:t>75,458</w:t>
            </w:r>
          </w:p>
        </w:tc>
        <w:tc>
          <w:tcPr>
            <w:tcW w:type="dxa" w:w="1560"/>
          </w:tcPr>
          <w:p>
            <w:r>
              <w:rPr>
                <w:sz w:val="15"/>
              </w:rPr>
              <w:t>62,956</w:t>
            </w:r>
          </w:p>
        </w:tc>
        <w:tc>
          <w:tcPr>
            <w:tcW w:type="dxa" w:w="1560"/>
          </w:tcPr>
          <w:p>
            <w:r>
              <w:rPr>
                <w:sz w:val="15"/>
              </w:rPr>
              <w:t>3,165,028</w:t>
            </w:r>
          </w:p>
        </w:tc>
      </w:tr>
      <w:tr>
        <w:tc>
          <w:tcPr>
            <w:tcW w:type="dxa" w:w="1560"/>
          </w:tcPr>
          <w:p>
            <w:r>
              <w:rPr>
                <w:sz w:val="15"/>
              </w:rPr>
              <w:t>2020</w:t>
            </w:r>
          </w:p>
        </w:tc>
        <w:tc>
          <w:tcPr>
            <w:tcW w:type="dxa" w:w="1560"/>
          </w:tcPr>
          <w:p>
            <w:r>
              <w:rPr>
                <w:sz w:val="15"/>
              </w:rPr>
              <w:t>8,013</w:t>
            </w:r>
          </w:p>
        </w:tc>
        <w:tc>
          <w:tcPr>
            <w:tcW w:type="dxa" w:w="1560"/>
          </w:tcPr>
          <w:p>
            <w:r>
              <w:rPr>
                <w:sz w:val="15"/>
              </w:rPr>
              <w:t>0</w:t>
            </w:r>
          </w:p>
        </w:tc>
        <w:tc>
          <w:tcPr>
            <w:tcW w:type="dxa" w:w="1560"/>
          </w:tcPr>
          <w:p>
            <w:r>
              <w:rPr>
                <w:sz w:val="15"/>
              </w:rPr>
              <w:t>54,982</w:t>
            </w:r>
          </w:p>
        </w:tc>
        <w:tc>
          <w:tcPr>
            <w:tcW w:type="dxa" w:w="1560"/>
          </w:tcPr>
          <w:p>
            <w:r>
              <w:rPr>
                <w:sz w:val="15"/>
              </w:rPr>
              <w:t>0</w:t>
            </w:r>
          </w:p>
        </w:tc>
        <w:tc>
          <w:tcPr>
            <w:tcW w:type="dxa" w:w="1560"/>
          </w:tcPr>
          <w:p>
            <w:r>
              <w:rPr>
                <w:sz w:val="15"/>
              </w:rPr>
              <w:t>2,356,769</w:t>
            </w:r>
          </w:p>
        </w:tc>
      </w:tr>
      <w:tr>
        <w:tc>
          <w:tcPr>
            <w:tcW w:type="dxa" w:w="1560"/>
          </w:tcPr>
          <w:p>
            <w:r>
              <w:rPr>
                <w:sz w:val="15"/>
              </w:rPr>
              <w:t>2021</w:t>
            </w:r>
          </w:p>
        </w:tc>
        <w:tc>
          <w:tcPr>
            <w:tcW w:type="dxa" w:w="1560"/>
          </w:tcPr>
          <w:p>
            <w:r>
              <w:rPr>
                <w:sz w:val="15"/>
              </w:rPr>
              <w:t>7,534</w:t>
            </w:r>
          </w:p>
        </w:tc>
        <w:tc>
          <w:tcPr>
            <w:tcW w:type="dxa" w:w="1560"/>
          </w:tcPr>
          <w:p>
            <w:r>
              <w:rPr>
                <w:sz w:val="15"/>
              </w:rPr>
              <w:t>0</w:t>
            </w:r>
          </w:p>
        </w:tc>
        <w:tc>
          <w:tcPr>
            <w:tcW w:type="dxa" w:w="1560"/>
          </w:tcPr>
          <w:p>
            <w:r>
              <w:rPr>
                <w:sz w:val="15"/>
              </w:rPr>
              <w:t>45,147</w:t>
            </w:r>
          </w:p>
        </w:tc>
        <w:tc>
          <w:tcPr>
            <w:tcW w:type="dxa" w:w="1560"/>
          </w:tcPr>
          <w:p>
            <w:r>
              <w:rPr>
                <w:sz w:val="15"/>
              </w:rPr>
              <w:t>0</w:t>
            </w:r>
          </w:p>
        </w:tc>
        <w:tc>
          <w:tcPr>
            <w:tcW w:type="dxa" w:w="1560"/>
          </w:tcPr>
          <w:p>
            <w:r>
              <w:rPr>
                <w:sz w:val="15"/>
              </w:rPr>
              <w:t>1,994,076</w:t>
            </w:r>
          </w:p>
        </w:tc>
      </w:tr>
      <w:tr>
        <w:tc>
          <w:tcPr>
            <w:tcW w:type="dxa" w:w="1560"/>
          </w:tcPr>
          <w:p>
            <w:r>
              <w:rPr>
                <w:sz w:val="15"/>
              </w:rPr>
              <w:t>2022</w:t>
            </w:r>
          </w:p>
        </w:tc>
        <w:tc>
          <w:tcPr>
            <w:tcW w:type="dxa" w:w="1560"/>
          </w:tcPr>
          <w:p>
            <w:r>
              <w:rPr>
                <w:sz w:val="15"/>
              </w:rPr>
              <w:t>7,073</w:t>
            </w:r>
          </w:p>
        </w:tc>
        <w:tc>
          <w:tcPr>
            <w:tcW w:type="dxa" w:w="1560"/>
          </w:tcPr>
          <w:p>
            <w:r>
              <w:rPr>
                <w:sz w:val="15"/>
              </w:rPr>
              <w:t>0</w:t>
            </w:r>
          </w:p>
        </w:tc>
        <w:tc>
          <w:tcPr>
            <w:tcW w:type="dxa" w:w="1560"/>
          </w:tcPr>
          <w:p>
            <w:r>
              <w:rPr>
                <w:sz w:val="15"/>
              </w:rPr>
              <w:t>35,298</w:t>
            </w:r>
          </w:p>
        </w:tc>
        <w:tc>
          <w:tcPr>
            <w:tcW w:type="dxa" w:w="1560"/>
          </w:tcPr>
          <w:p>
            <w:r>
              <w:rPr>
                <w:sz w:val="15"/>
              </w:rPr>
              <w:t>0</w:t>
            </w:r>
          </w:p>
        </w:tc>
        <w:tc>
          <w:tcPr>
            <w:tcW w:type="dxa" w:w="1560"/>
          </w:tcPr>
          <w:p>
            <w:r>
              <w:rPr>
                <w:sz w:val="15"/>
              </w:rPr>
              <w:t>1,545,191</w:t>
            </w:r>
          </w:p>
        </w:tc>
      </w:tr>
      <w:tr>
        <w:tc>
          <w:tcPr>
            <w:tcW w:type="dxa" w:w="1560"/>
          </w:tcPr>
          <w:p>
            <w:r>
              <w:rPr>
                <w:sz w:val="15"/>
              </w:rPr>
              <w:t>2023</w:t>
            </w:r>
          </w:p>
        </w:tc>
        <w:tc>
          <w:tcPr>
            <w:tcW w:type="dxa" w:w="1560"/>
          </w:tcPr>
          <w:p>
            <w:r>
              <w:rPr>
                <w:sz w:val="15"/>
              </w:rPr>
              <w:t>4,836</w:t>
            </w:r>
          </w:p>
        </w:tc>
        <w:tc>
          <w:tcPr>
            <w:tcW w:type="dxa" w:w="1560"/>
          </w:tcPr>
          <w:p>
            <w:r>
              <w:rPr>
                <w:sz w:val="15"/>
              </w:rPr>
              <w:t>0</w:t>
            </w:r>
          </w:p>
        </w:tc>
        <w:tc>
          <w:tcPr>
            <w:tcW w:type="dxa" w:w="1560"/>
          </w:tcPr>
          <w:p>
            <w:r>
              <w:rPr>
                <w:sz w:val="15"/>
              </w:rPr>
              <w:t>21,673</w:t>
            </w:r>
          </w:p>
        </w:tc>
        <w:tc>
          <w:tcPr>
            <w:tcW w:type="dxa" w:w="1560"/>
          </w:tcPr>
          <w:p>
            <w:r>
              <w:rPr>
                <w:sz w:val="15"/>
              </w:rPr>
              <w:t>0</w:t>
            </w:r>
          </w:p>
        </w:tc>
        <w:tc>
          <w:tcPr>
            <w:tcW w:type="dxa" w:w="1560"/>
          </w:tcPr>
          <w:p>
            <w:r>
              <w:rPr>
                <w:sz w:val="15"/>
              </w:rPr>
              <w:t>1,527,987</w:t>
            </w:r>
          </w:p>
        </w:tc>
      </w:tr>
    </w:tbl>
    <w:p>
      <w:r>
        <w:br w:type="page"/>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0"/>
        <w:gridCol w:w="1560"/>
        <w:gridCol w:w="1560"/>
        <w:gridCol w:w="1560"/>
        <w:gridCol w:w="1560"/>
        <w:gridCol w:w="1560"/>
      </w:tblGrid>
      <w:tr>
        <w:tc>
          <w:tcPr>
            <w:tcW w:type="dxa" w:w="1560"/>
          </w:tcPr>
          <w:p>
            <w:r>
              <w:rPr>
                <w:b/>
                <w:sz w:val="15"/>
              </w:rPr>
              <w:t>Fiscal year</w:t>
            </w:r>
          </w:p>
        </w:tc>
        <w:tc>
          <w:tcPr>
            <w:tcW w:type="dxa" w:w="1560"/>
          </w:tcPr>
          <w:p>
            <w:r>
              <w:rPr>
                <w:b/>
                <w:sz w:val="15"/>
              </w:rPr>
              <w:t>Interferon-free DAA courses</w:t>
            </w:r>
          </w:p>
        </w:tc>
        <w:tc>
          <w:tcPr>
            <w:tcW w:type="dxa" w:w="1560"/>
          </w:tcPr>
          <w:p>
            <w:r>
              <w:rPr>
                <w:b/>
                <w:sz w:val="15"/>
              </w:rPr>
              <w:t>Interferon-free DAA courses (longer-duration assumption)</w:t>
            </w:r>
          </w:p>
        </w:tc>
        <w:tc>
          <w:tcPr>
            <w:tcW w:type="dxa" w:w="1560"/>
          </w:tcPr>
          <w:p>
            <w:r>
              <w:rPr>
                <w:b/>
                <w:sz w:val="15"/>
              </w:rPr>
              <w:t>Peginterferon courses</w:t>
            </w:r>
          </w:p>
        </w:tc>
        <w:tc>
          <w:tcPr>
            <w:tcW w:type="dxa" w:w="1560"/>
          </w:tcPr>
          <w:p>
            <w:r>
              <w:rPr>
                <w:b/>
                <w:sz w:val="15"/>
              </w:rPr>
              <w:t>Combined treatment volume</w:t>
            </w:r>
          </w:p>
        </w:tc>
        <w:tc>
          <w:tcPr>
            <w:tcW w:type="dxa" w:w="1560"/>
          </w:tcPr>
          <w:p>
            <w:r>
              <w:rPr>
                <w:b/>
                <w:sz w:val="15"/>
              </w:rPr>
              <w:t>DAA share (%)</w:t>
            </w:r>
          </w:p>
        </w:tc>
      </w:tr>
      <w:tr>
        <w:tc>
          <w:tcPr>
            <w:tcW w:type="dxa" w:w="1560"/>
          </w:tcPr>
          <w:p>
            <w:r>
              <w:rPr>
                <w:sz w:val="15"/>
              </w:rPr>
              <w:t>2014</w:t>
            </w:r>
          </w:p>
        </w:tc>
        <w:tc>
          <w:tcPr>
            <w:tcW w:type="dxa" w:w="1560"/>
          </w:tcPr>
          <w:p>
            <w:r>
              <w:rPr>
                <w:sz w:val="15"/>
              </w:rPr>
              <w:t>13,404</w:t>
            </w:r>
          </w:p>
        </w:tc>
        <w:tc>
          <w:tcPr>
            <w:tcW w:type="dxa" w:w="1560"/>
          </w:tcPr>
          <w:p>
            <w:r>
              <w:rPr>
                <w:sz w:val="15"/>
              </w:rPr>
              <w:t>13,404</w:t>
            </w:r>
          </w:p>
        </w:tc>
        <w:tc>
          <w:tcPr>
            <w:tcW w:type="dxa" w:w="1560"/>
          </w:tcPr>
          <w:p>
            <w:r>
              <w:rPr>
                <w:sz w:val="15"/>
              </w:rPr>
              <w:t>12,903</w:t>
            </w:r>
          </w:p>
        </w:tc>
        <w:tc>
          <w:tcPr>
            <w:tcW w:type="dxa" w:w="1560"/>
          </w:tcPr>
          <w:p>
            <w:r>
              <w:rPr>
                <w:sz w:val="15"/>
              </w:rPr>
              <w:t>26,307</w:t>
            </w:r>
          </w:p>
        </w:tc>
        <w:tc>
          <w:tcPr>
            <w:tcW w:type="dxa" w:w="1560"/>
          </w:tcPr>
          <w:p>
            <w:r>
              <w:rPr>
                <w:sz w:val="15"/>
              </w:rPr>
              <w:t>50.9</w:t>
            </w:r>
          </w:p>
        </w:tc>
      </w:tr>
      <w:tr>
        <w:tc>
          <w:tcPr>
            <w:tcW w:type="dxa" w:w="1560"/>
          </w:tcPr>
          <w:p>
            <w:r>
              <w:rPr>
                <w:sz w:val="15"/>
              </w:rPr>
              <w:t>2015</w:t>
            </w:r>
          </w:p>
        </w:tc>
        <w:tc>
          <w:tcPr>
            <w:tcW w:type="dxa" w:w="1560"/>
          </w:tcPr>
          <w:p>
            <w:r>
              <w:rPr>
                <w:sz w:val="15"/>
              </w:rPr>
              <w:t>89,858</w:t>
            </w:r>
          </w:p>
        </w:tc>
        <w:tc>
          <w:tcPr>
            <w:tcW w:type="dxa" w:w="1560"/>
          </w:tcPr>
          <w:p>
            <w:r>
              <w:rPr>
                <w:sz w:val="15"/>
              </w:rPr>
              <w:t>89,858</w:t>
            </w:r>
          </w:p>
        </w:tc>
        <w:tc>
          <w:tcPr>
            <w:tcW w:type="dxa" w:w="1560"/>
          </w:tcPr>
          <w:p>
            <w:r>
              <w:rPr>
                <w:sz w:val="15"/>
              </w:rPr>
              <w:t>2,731</w:t>
            </w:r>
          </w:p>
        </w:tc>
        <w:tc>
          <w:tcPr>
            <w:tcW w:type="dxa" w:w="1560"/>
          </w:tcPr>
          <w:p>
            <w:r>
              <w:rPr>
                <w:sz w:val="15"/>
              </w:rPr>
              <w:t>92,589</w:t>
            </w:r>
          </w:p>
        </w:tc>
        <w:tc>
          <w:tcPr>
            <w:tcW w:type="dxa" w:w="1560"/>
          </w:tcPr>
          <w:p>
            <w:r>
              <w:rPr>
                <w:sz w:val="15"/>
              </w:rPr>
              <w:t>97.0</w:t>
            </w:r>
          </w:p>
        </w:tc>
      </w:tr>
      <w:tr>
        <w:tc>
          <w:tcPr>
            <w:tcW w:type="dxa" w:w="1560"/>
          </w:tcPr>
          <w:p>
            <w:r>
              <w:rPr>
                <w:sz w:val="15"/>
              </w:rPr>
              <w:t>2016</w:t>
            </w:r>
          </w:p>
        </w:tc>
        <w:tc>
          <w:tcPr>
            <w:tcW w:type="dxa" w:w="1560"/>
          </w:tcPr>
          <w:p>
            <w:r>
              <w:rPr>
                <w:sz w:val="15"/>
              </w:rPr>
              <w:t>60,598</w:t>
            </w:r>
          </w:p>
        </w:tc>
        <w:tc>
          <w:tcPr>
            <w:tcW w:type="dxa" w:w="1560"/>
          </w:tcPr>
          <w:p>
            <w:r>
              <w:rPr>
                <w:sz w:val="15"/>
              </w:rPr>
              <w:t>60,598</w:t>
            </w:r>
          </w:p>
        </w:tc>
        <w:tc>
          <w:tcPr>
            <w:tcW w:type="dxa" w:w="1560"/>
          </w:tcPr>
          <w:p>
            <w:r>
              <w:rPr>
                <w:sz w:val="15"/>
              </w:rPr>
              <w:t>702</w:t>
            </w:r>
          </w:p>
        </w:tc>
        <w:tc>
          <w:tcPr>
            <w:tcW w:type="dxa" w:w="1560"/>
          </w:tcPr>
          <w:p>
            <w:r>
              <w:rPr>
                <w:sz w:val="15"/>
              </w:rPr>
              <w:t>61,300</w:t>
            </w:r>
          </w:p>
        </w:tc>
        <w:tc>
          <w:tcPr>
            <w:tcW w:type="dxa" w:w="1560"/>
          </w:tcPr>
          <w:p>
            <w:r>
              <w:rPr>
                <w:sz w:val="15"/>
              </w:rPr>
              <w:t>98.9</w:t>
            </w:r>
          </w:p>
        </w:tc>
      </w:tr>
      <w:tr>
        <w:tc>
          <w:tcPr>
            <w:tcW w:type="dxa" w:w="1560"/>
          </w:tcPr>
          <w:p>
            <w:r>
              <w:rPr>
                <w:sz w:val="15"/>
              </w:rPr>
              <w:t>2017</w:t>
            </w:r>
          </w:p>
        </w:tc>
        <w:tc>
          <w:tcPr>
            <w:tcW w:type="dxa" w:w="1560"/>
          </w:tcPr>
          <w:p>
            <w:r>
              <w:rPr>
                <w:sz w:val="15"/>
              </w:rPr>
              <w:t>35,292</w:t>
            </w:r>
          </w:p>
        </w:tc>
        <w:tc>
          <w:tcPr>
            <w:tcW w:type="dxa" w:w="1560"/>
          </w:tcPr>
          <w:p>
            <w:r>
              <w:rPr>
                <w:sz w:val="15"/>
              </w:rPr>
              <w:t>32,903</w:t>
            </w:r>
          </w:p>
        </w:tc>
        <w:tc>
          <w:tcPr>
            <w:tcW w:type="dxa" w:w="1560"/>
          </w:tcPr>
          <w:p>
            <w:r>
              <w:rPr>
                <w:sz w:val="15"/>
              </w:rPr>
              <w:t>441</w:t>
            </w:r>
          </w:p>
        </w:tc>
        <w:tc>
          <w:tcPr>
            <w:tcW w:type="dxa" w:w="1560"/>
          </w:tcPr>
          <w:p>
            <w:r>
              <w:rPr>
                <w:sz w:val="15"/>
              </w:rPr>
              <w:t>35,733</w:t>
            </w:r>
          </w:p>
        </w:tc>
        <w:tc>
          <w:tcPr>
            <w:tcW w:type="dxa" w:w="1560"/>
          </w:tcPr>
          <w:p>
            <w:r>
              <w:rPr>
                <w:sz w:val="15"/>
              </w:rPr>
              <w:t>98.8</w:t>
            </w:r>
          </w:p>
        </w:tc>
      </w:tr>
      <w:tr>
        <w:tc>
          <w:tcPr>
            <w:tcW w:type="dxa" w:w="1560"/>
          </w:tcPr>
          <w:p>
            <w:r>
              <w:rPr>
                <w:sz w:val="15"/>
              </w:rPr>
              <w:t>2018</w:t>
            </w:r>
          </w:p>
        </w:tc>
        <w:tc>
          <w:tcPr>
            <w:tcW w:type="dxa" w:w="1560"/>
          </w:tcPr>
          <w:p>
            <w:r>
              <w:rPr>
                <w:sz w:val="15"/>
              </w:rPr>
              <w:t>30,473</w:t>
            </w:r>
          </w:p>
        </w:tc>
        <w:tc>
          <w:tcPr>
            <w:tcW w:type="dxa" w:w="1560"/>
          </w:tcPr>
          <w:p>
            <w:r>
              <w:rPr>
                <w:sz w:val="15"/>
              </w:rPr>
              <w:t>21,853</w:t>
            </w:r>
          </w:p>
        </w:tc>
        <w:tc>
          <w:tcPr>
            <w:tcW w:type="dxa" w:w="1560"/>
          </w:tcPr>
          <w:p>
            <w:r>
              <w:rPr>
                <w:sz w:val="15"/>
              </w:rPr>
              <w:t>295</w:t>
            </w:r>
          </w:p>
        </w:tc>
        <w:tc>
          <w:tcPr>
            <w:tcW w:type="dxa" w:w="1560"/>
          </w:tcPr>
          <w:p>
            <w:r>
              <w:rPr>
                <w:sz w:val="15"/>
              </w:rPr>
              <w:t>30,768</w:t>
            </w:r>
          </w:p>
        </w:tc>
        <w:tc>
          <w:tcPr>
            <w:tcW w:type="dxa" w:w="1560"/>
          </w:tcPr>
          <w:p>
            <w:r>
              <w:rPr>
                <w:sz w:val="15"/>
              </w:rPr>
              <w:t>99.0</w:t>
            </w:r>
          </w:p>
        </w:tc>
      </w:tr>
      <w:tr>
        <w:tc>
          <w:tcPr>
            <w:tcW w:type="dxa" w:w="1560"/>
          </w:tcPr>
          <w:p>
            <w:r>
              <w:rPr>
                <w:sz w:val="15"/>
              </w:rPr>
              <w:t>2019</w:t>
            </w:r>
          </w:p>
        </w:tc>
        <w:tc>
          <w:tcPr>
            <w:tcW w:type="dxa" w:w="1560"/>
          </w:tcPr>
          <w:p>
            <w:r>
              <w:rPr>
                <w:sz w:val="15"/>
              </w:rPr>
              <w:t>20,275</w:t>
            </w:r>
          </w:p>
        </w:tc>
        <w:tc>
          <w:tcPr>
            <w:tcW w:type="dxa" w:w="1560"/>
          </w:tcPr>
          <w:p>
            <w:r>
              <w:rPr>
                <w:sz w:val="15"/>
              </w:rPr>
              <w:t>14,354</w:t>
            </w:r>
          </w:p>
        </w:tc>
        <w:tc>
          <w:tcPr>
            <w:tcW w:type="dxa" w:w="1560"/>
          </w:tcPr>
          <w:p>
            <w:r>
              <w:rPr>
                <w:sz w:val="15"/>
              </w:rPr>
              <w:t>228</w:t>
            </w:r>
          </w:p>
        </w:tc>
        <w:tc>
          <w:tcPr>
            <w:tcW w:type="dxa" w:w="1560"/>
          </w:tcPr>
          <w:p>
            <w:r>
              <w:rPr>
                <w:sz w:val="15"/>
              </w:rPr>
              <w:t>20,503</w:t>
            </w:r>
          </w:p>
        </w:tc>
        <w:tc>
          <w:tcPr>
            <w:tcW w:type="dxa" w:w="1560"/>
          </w:tcPr>
          <w:p>
            <w:r>
              <w:rPr>
                <w:sz w:val="15"/>
              </w:rPr>
              <w:t>98.9</w:t>
            </w:r>
          </w:p>
        </w:tc>
      </w:tr>
      <w:tr>
        <w:tc>
          <w:tcPr>
            <w:tcW w:type="dxa" w:w="1560"/>
          </w:tcPr>
          <w:p>
            <w:r>
              <w:rPr>
                <w:sz w:val="15"/>
              </w:rPr>
              <w:t>2020</w:t>
            </w:r>
          </w:p>
        </w:tc>
        <w:tc>
          <w:tcPr>
            <w:tcW w:type="dxa" w:w="1560"/>
          </w:tcPr>
          <w:p>
            <w:r>
              <w:rPr>
                <w:sz w:val="15"/>
              </w:rPr>
              <w:t>15,052</w:t>
            </w:r>
          </w:p>
        </w:tc>
        <w:tc>
          <w:tcPr>
            <w:tcW w:type="dxa" w:w="1560"/>
          </w:tcPr>
          <w:p>
            <w:r>
              <w:rPr>
                <w:sz w:val="15"/>
              </w:rPr>
              <w:t>10,700</w:t>
            </w:r>
          </w:p>
        </w:tc>
        <w:tc>
          <w:tcPr>
            <w:tcW w:type="dxa" w:w="1560"/>
          </w:tcPr>
          <w:p>
            <w:r>
              <w:rPr>
                <w:sz w:val="15"/>
              </w:rPr>
              <w:t>167</w:t>
            </w:r>
          </w:p>
        </w:tc>
        <w:tc>
          <w:tcPr>
            <w:tcW w:type="dxa" w:w="1560"/>
          </w:tcPr>
          <w:p>
            <w:r>
              <w:rPr>
                <w:sz w:val="15"/>
              </w:rPr>
              <w:t>15,219</w:t>
            </w:r>
          </w:p>
        </w:tc>
        <w:tc>
          <w:tcPr>
            <w:tcW w:type="dxa" w:w="1560"/>
          </w:tcPr>
          <w:p>
            <w:r>
              <w:rPr>
                <w:sz w:val="15"/>
              </w:rPr>
              <w:t>98.9</w:t>
            </w:r>
          </w:p>
        </w:tc>
      </w:tr>
      <w:tr>
        <w:tc>
          <w:tcPr>
            <w:tcW w:type="dxa" w:w="1560"/>
          </w:tcPr>
          <w:p>
            <w:r>
              <w:rPr>
                <w:sz w:val="15"/>
              </w:rPr>
              <w:t>2021</w:t>
            </w:r>
          </w:p>
        </w:tc>
        <w:tc>
          <w:tcPr>
            <w:tcW w:type="dxa" w:w="1560"/>
          </w:tcPr>
          <w:p>
            <w:r>
              <w:rPr>
                <w:sz w:val="15"/>
              </w:rPr>
              <w:t>12,712</w:t>
            </w:r>
          </w:p>
        </w:tc>
        <w:tc>
          <w:tcPr>
            <w:tcW w:type="dxa" w:w="1560"/>
          </w:tcPr>
          <w:p>
            <w:r>
              <w:rPr>
                <w:sz w:val="15"/>
              </w:rPr>
              <w:t>9,027</w:t>
            </w:r>
          </w:p>
        </w:tc>
        <w:tc>
          <w:tcPr>
            <w:tcW w:type="dxa" w:w="1560"/>
          </w:tcPr>
          <w:p>
            <w:r>
              <w:rPr>
                <w:sz w:val="15"/>
              </w:rPr>
              <w:t>157</w:t>
            </w:r>
          </w:p>
        </w:tc>
        <w:tc>
          <w:tcPr>
            <w:tcW w:type="dxa" w:w="1560"/>
          </w:tcPr>
          <w:p>
            <w:r>
              <w:rPr>
                <w:sz w:val="15"/>
              </w:rPr>
              <w:t>12,868</w:t>
            </w:r>
          </w:p>
        </w:tc>
        <w:tc>
          <w:tcPr>
            <w:tcW w:type="dxa" w:w="1560"/>
          </w:tcPr>
          <w:p>
            <w:r>
              <w:rPr>
                <w:sz w:val="15"/>
              </w:rPr>
              <w:t>98.8</w:t>
            </w:r>
          </w:p>
        </w:tc>
      </w:tr>
      <w:tr>
        <w:tc>
          <w:tcPr>
            <w:tcW w:type="dxa" w:w="1560"/>
          </w:tcPr>
          <w:p>
            <w:r>
              <w:rPr>
                <w:sz w:val="15"/>
              </w:rPr>
              <w:t>2022</w:t>
            </w:r>
          </w:p>
        </w:tc>
        <w:tc>
          <w:tcPr>
            <w:tcW w:type="dxa" w:w="1560"/>
          </w:tcPr>
          <w:p>
            <w:r>
              <w:rPr>
                <w:sz w:val="15"/>
              </w:rPr>
              <w:t>9,799</w:t>
            </w:r>
          </w:p>
        </w:tc>
        <w:tc>
          <w:tcPr>
            <w:tcW w:type="dxa" w:w="1560"/>
          </w:tcPr>
          <w:p>
            <w:r>
              <w:rPr>
                <w:sz w:val="15"/>
              </w:rPr>
              <w:t>6,793</w:t>
            </w:r>
          </w:p>
        </w:tc>
        <w:tc>
          <w:tcPr>
            <w:tcW w:type="dxa" w:w="1560"/>
          </w:tcPr>
          <w:p>
            <w:r>
              <w:rPr>
                <w:sz w:val="15"/>
              </w:rPr>
              <w:t>147</w:t>
            </w:r>
          </w:p>
        </w:tc>
        <w:tc>
          <w:tcPr>
            <w:tcW w:type="dxa" w:w="1560"/>
          </w:tcPr>
          <w:p>
            <w:r>
              <w:rPr>
                <w:sz w:val="15"/>
              </w:rPr>
              <w:t>9,947</w:t>
            </w:r>
          </w:p>
        </w:tc>
        <w:tc>
          <w:tcPr>
            <w:tcW w:type="dxa" w:w="1560"/>
          </w:tcPr>
          <w:p>
            <w:r>
              <w:rPr>
                <w:sz w:val="15"/>
              </w:rPr>
              <w:t>98.5</w:t>
            </w:r>
          </w:p>
        </w:tc>
      </w:tr>
      <w:tr>
        <w:tc>
          <w:tcPr>
            <w:tcW w:type="dxa" w:w="1560"/>
          </w:tcPr>
          <w:p>
            <w:r>
              <w:rPr>
                <w:sz w:val="15"/>
              </w:rPr>
              <w:t>2023</w:t>
            </w:r>
          </w:p>
        </w:tc>
        <w:tc>
          <w:tcPr>
            <w:tcW w:type="dxa" w:w="1560"/>
          </w:tcPr>
          <w:p>
            <w:r>
              <w:rPr>
                <w:sz w:val="15"/>
              </w:rPr>
              <w:t>10,174</w:t>
            </w:r>
          </w:p>
        </w:tc>
        <w:tc>
          <w:tcPr>
            <w:tcW w:type="dxa" w:w="1560"/>
          </w:tcPr>
          <w:p>
            <w:r>
              <w:rPr>
                <w:sz w:val="15"/>
              </w:rPr>
              <w:t>6,423</w:t>
            </w:r>
          </w:p>
        </w:tc>
        <w:tc>
          <w:tcPr>
            <w:tcW w:type="dxa" w:w="1560"/>
          </w:tcPr>
          <w:p>
            <w:r>
              <w:rPr>
                <w:sz w:val="15"/>
              </w:rPr>
              <w:t>101</w:t>
            </w:r>
          </w:p>
        </w:tc>
        <w:tc>
          <w:tcPr>
            <w:tcW w:type="dxa" w:w="1560"/>
          </w:tcPr>
          <w:p>
            <w:r>
              <w:rPr>
                <w:sz w:val="15"/>
              </w:rPr>
              <w:t>10,275</w:t>
            </w:r>
          </w:p>
        </w:tc>
        <w:tc>
          <w:tcPr>
            <w:tcW w:type="dxa" w:w="1560"/>
          </w:tcPr>
          <w:p>
            <w:r>
              <w:rPr>
                <w:sz w:val="15"/>
              </w:rPr>
              <w:t>99.0</w:t>
            </w:r>
          </w:p>
        </w:tc>
      </w:tr>
    </w:tbl>
    <w:p>
      <w:r>
        <w:br w:type="page"/>
      </w:r>
    </w:p>
    <w:p>
      <w:pPr>
        <w:pStyle w:val="Heading1"/>
      </w:pPr>
      <w:r>
        <w:t>Figure Legends</w:t>
      </w:r>
    </w:p>
    <w:p>
      <w: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w:t>
      </w:r>
    </w:p>
    <w:p>
      <w:r>
        <w:t>Figure 2. Interferon-free DAA dispensed quantity by product, fiscal years 2014-2023. Elbasvir and grazoprevir are shown separately because the NDB product files list the co-packaged components individually; ombitasvir/paritaprevir/ritonavir is a single co-formulated product.</w:t>
      </w:r>
    </w:p>
    <w:p>
      <w:r>
        <w:t>Figure 3. Estimated national hepatitis C antiviral treatment volume (interferon-free DAA courses plus peginterferon courses) and the DAA share of it. Ribavirin is excluded because it accompanied both interferon-based and interferon-free regimens.</w:t>
      </w:r>
    </w:p>
    <w:sectPr w:rsidR="00FC693F" w:rsidRPr="0006063C" w:rsidSect="00034616">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