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Rapid population-level displacement of interferon-based hepatitis C therapy by interferon-free direct-acting antivirals in Japan</w:t>
      </w:r>
    </w:p>
    <w:p>
      <w:pPr>
        <w:spacing w:after="120"/>
      </w:pPr>
      <w:r>
        <w:rPr>
          <w:b/>
        </w:rPr>
        <w:t xml:space="preserve">Article type: </w:t>
      </w:r>
      <w:r>
        <w:t>Original Article</w:t>
      </w:r>
    </w:p>
    <w:p>
      <w:pPr>
        <w:spacing w:after="120"/>
      </w:pPr>
      <w:r>
        <w:rPr>
          <w:b/>
        </w:rPr>
        <w:t xml:space="preserve">Running head: </w:t>
      </w:r>
      <w:r>
        <w:t>Interferon-to-DAA switch in Japan</w:t>
      </w:r>
    </w:p>
    <w:p>
      <w:pPr>
        <w:spacing w:after="120"/>
      </w:pPr>
      <w:r>
        <w:rPr>
          <w:b/>
        </w:rPr>
        <w:t xml:space="preserve">Authors: </w:t>
      </w:r>
      <w:r>
        <w:t>[To be completed by the authors; include 16-digit ORCID iDs]</w:t>
      </w:r>
    </w:p>
    <w:p>
      <w:pPr>
        <w:spacing w:after="120"/>
      </w:pPr>
      <w:r>
        <w:rPr>
          <w:b/>
        </w:rPr>
        <w:t xml:space="preserve">Affiliations: </w:t>
      </w:r>
      <w:r>
        <w:t>[To be completed by the authors; include institution, department, city, country]</w:t>
      </w:r>
    </w:p>
    <w:p>
      <w:pPr>
        <w:spacing w:after="120"/>
      </w:pPr>
      <w:r>
        <w:rPr>
          <w:b/>
        </w:rPr>
        <w:t xml:space="preserve">Corresponding author: </w:t>
      </w:r>
      <w:r>
        <w:t>[Name], [Affiliation], [Full postal address], Tel: [telephone], Email: [email]</w:t>
      </w:r>
    </w:p>
    <w:p>
      <w:pPr>
        <w:spacing w:after="120"/>
      </w:pPr>
      <w:r>
        <w:rPr>
          <w:b/>
        </w:rPr>
        <w:t xml:space="preserve">Word count: </w:t>
      </w:r>
      <w:r>
        <w:t>Abstract: 250 words; main text: 2399 words (excluding references, declarations, tables, figure legends and acknowledgments)</w:t>
      </w:r>
    </w:p>
    <w:p>
      <w:pPr>
        <w:spacing w:after="120"/>
      </w:pPr>
      <w:r>
        <w:rPr>
          <w:b/>
        </w:rPr>
        <w:t xml:space="preserve">Tables / figures: </w:t>
      </w:r>
      <w:r>
        <w:t>3 tables, 3 figures</w:t>
      </w:r>
    </w:p>
    <w:p>
      <w:pPr>
        <w:spacing w:after="120"/>
      </w:pPr>
      <w:r>
        <w:rPr>
          <w:b/>
        </w:rPr>
        <w:t xml:space="preserve">Acknowledgments: </w:t>
      </w:r>
      <w:r>
        <w:t>None declared (people, grants, funds).</w:t>
      </w:r>
    </w:p>
    <w:p>
      <w:pPr>
        <w:spacing w:after="120"/>
      </w:pPr>
      <w:r>
        <w:rPr>
          <w:b/>
        </w:rPr>
        <w:t xml:space="preserve">Author contributions: </w:t>
      </w:r>
      <w:r>
        <w:t>To be completed by the authors using the CRediT taxonomy. Example: [Author A]: Conceptualization, Methodology, Writing – original draft; [Author B]: ... All authors read and approved the final manuscript.</w:t>
      </w:r>
    </w:p>
    <w:p>
      <w:r>
        <w:br w:type="page"/>
      </w:r>
    </w:p>
    <w:p>
      <w:pPr>
        <w:pStyle w:val="Heading1"/>
      </w:pPr>
      <w:r>
        <w:t>Abstract</w:t>
      </w:r>
    </w:p>
    <w:p>
      <w:r>
        <w:rPr>
          <w:b/>
        </w:rPr>
        <w:t xml:space="preserve">Aim: </w:t>
      </w:r>
      <w:r>
        <w:t xml:space="preserve">Interferon-free direct-acting antivirals (DAAs) for hepatitis C virus (HCV) were approved and covered by National Health Insurance (NHI) in Japan in 2014-2015. How quickly an entire population moves away from an established standard once a better option is approved and reimbursed is rarely measured directly. We describe national antiviral use across this transition. </w:t>
      </w:r>
      <w:r>
        <w:rPr>
          <w:b/>
        </w:rPr>
        <w:t xml:space="preserve">Methods: </w:t>
      </w:r>
      <w:r>
        <w:t xml:space="preserve">Using the National Database of Health Insurance Claims and Specific Health Checkups of Japan (NDB) Open Data (fiscal years (FY) 2014-2023), we extracted national dispensed quantities of peginterferon, first-generation non-structural protein 3/4A (NS3/4A) protease inhibitors (given with peginterferon), conventional interferon, ribavirin, and 9 interferon-free DAA products. Quantities were converted to estimated treatment courses using documented regimen durations, placing established and new therapy on a common scale, and described with segmented log-linear and exponential trend models. </w:t>
      </w:r>
      <w:r>
        <w:rPr>
          <w:b/>
        </w:rPr>
        <w:t xml:space="preserve">Results: </w:t>
      </w:r>
      <w:r>
        <w:t xml:space="preserve">Peginterferon dispensing fell 99.2% from FY2014 to FY2023 (36% per year, 95% confidence interval (CI) 24-47%), and protease inhibitors were absent from FY2016. Estimated total treatment volume rose from 26,307 to a FY2015 peak of 92,589 courses, then fell 88.9% to 10,275 by FY2023; the DAA share of estimated courses moved from 50.9% to 97.0% within one fiscal year and stayed above 97%. Ribavirin, used in both interferon-based and interferon-free regimens, fell, rebounded 20-fold in FY2019, and was zero from FY2020 onward. </w:t>
      </w:r>
      <w:r>
        <w:rPr>
          <w:b/>
        </w:rPr>
        <w:t xml:space="preserve">Conclusions: </w:t>
      </w:r>
      <w:r>
        <w:t>National hepatitis C treatment switched almost entirely to interferon-free regimens within a year of reimbursement, with a surge and decline in total volume of the kind expected when a curative therapy works through a prevalent pool.</w:t>
      </w:r>
    </w:p>
    <w:p>
      <w:pPr>
        <w:spacing w:after="240"/>
      </w:pPr>
      <w:r>
        <w:rPr>
          <w:b/>
        </w:rPr>
        <w:t xml:space="preserve">Keywords: </w:t>
      </w:r>
      <w:r>
        <w:t>Antiviral Agents; Hepatitis C; Hepatitis C, Chronic; Interferons; Japan; Ribavirin</w:t>
      </w:r>
    </w:p>
    <w:p>
      <w:pPr>
        <w:pStyle w:val="Heading2"/>
      </w:pPr>
      <w:r>
        <w:t>List of Abbreviations</w:t>
      </w:r>
    </w:p>
    <w:p>
      <w:pPr>
        <w:pStyle w:val="ListBullet"/>
      </w:pPr>
      <w:r>
        <w:t>CI: confidence interval</w:t>
      </w:r>
    </w:p>
    <w:p>
      <w:pPr>
        <w:pStyle w:val="ListBullet"/>
      </w:pPr>
      <w:r>
        <w:t>DAA: direct-acting antiviral</w:t>
      </w:r>
    </w:p>
    <w:p>
      <w:pPr>
        <w:pStyle w:val="ListBullet"/>
      </w:pPr>
      <w:r>
        <w:t>FY: fiscal year</w:t>
      </w:r>
    </w:p>
    <w:p>
      <w:pPr>
        <w:pStyle w:val="ListBullet"/>
      </w:pPr>
      <w:r>
        <w:t>HCV: hepatitis C virus</w:t>
      </w:r>
    </w:p>
    <w:p>
      <w:pPr>
        <w:pStyle w:val="ListBullet"/>
      </w:pPr>
      <w:r>
        <w:t>IFN: interferon</w:t>
      </w:r>
    </w:p>
    <w:p>
      <w:pPr>
        <w:pStyle w:val="ListBullet"/>
      </w:pPr>
      <w:r>
        <w:t>JSH: Japan Society of Hepatology</w:t>
      </w:r>
    </w:p>
    <w:p>
      <w:pPr>
        <w:pStyle w:val="ListBullet"/>
      </w:pPr>
      <w:r>
        <w:t>NDB: National Database of Health Insurance Claims and Specific Health Checkups of Japan</w:t>
      </w:r>
    </w:p>
    <w:p>
      <w:pPr>
        <w:pStyle w:val="ListBullet"/>
      </w:pPr>
      <w:r>
        <w:t>NHI: National Health Insurance</w:t>
      </w:r>
    </w:p>
    <w:p/>
    <w:p>
      <w:pPr>
        <w:pStyle w:val="Heading1"/>
      </w:pPr>
      <w:r>
        <w:t>Introduction</w:t>
      </w:r>
    </w:p>
    <w:p>
      <w:r>
        <w:t>Whether a newly approved therapy actually displaces the established standard of care, and how fast, is a practical question for regulators and payers as well as for patients waiting for a better option. Japan has historically approved new drugs later than the United States or Europe, although that gap narrowed over the 2010s</w:t>
      </w:r>
      <w:r>
        <w:t>[1]</w:t>
      </w:r>
      <w:r>
        <w:t>, and approval is only the first step: a therapy also has to be reimbursed, affordable, and taken up by clinicians and patients before national utilization moves. Chronic hepatitis C provides an unusually clear setting in which to observe that movement. Until 2014, treatment in Japan was built around interferon, given for 24-48 weeks with ribavirin and, from 2011, with a first-generation NS3/4A protease inhibitor; it was poorly tolerated and did not cure everyone</w:t>
      </w:r>
      <w:r>
        <w:t>[2]</w:t>
      </w:r>
      <w:r>
        <w:t>. Interferon-free all-oral regimens then arrived in quick succession: daclatasvir plus asunaprevir, approved in July 2014, was the first regimen worldwide to dispense with both interferon and ribavirin</w:t>
      </w:r>
      <w:r>
        <w:t>[3-4]</w:t>
      </w:r>
      <w:r>
        <w:t>, followed by sofosbuvir-based and pangenotypic regimens with cure rates above 90% and treatment durations of 8-12 weeks</w:t>
      </w:r>
      <w:r>
        <w:t>[5-6]</w:t>
      </w:r>
      <w:r>
        <w:t>.</w:t>
      </w:r>
    </w:p>
    <w:p>
      <w:r>
        <w:t>This transition is also relevant to the global goal of hepatitis C virus (HCV) elimination. The World Health Organization has set targets for HCV elimination by 2030 through expanded testing and treatment, but progress depends on whether health systems can move quickly from older, less effective regimens to modern interferon-free direct-acting antiviral therapy once it becomes available and affordable</w:t>
      </w:r>
      <w:r>
        <w:t>[7]</w:t>
      </w:r>
      <w:r>
        <w:t>. Japan offers a national case study: it has a mature hepatitis screening program and a subsidy program that caps out-of-pocket costs for antiviral therapy, so the observed speed of the switch reflects uptake under conditions designed to remove cost and access barriers</w:t>
      </w:r>
      <w:r>
        <w:t>[7-8]</w:t>
      </w:r>
      <w:r>
        <w:t>. Examining how rapidly the country left interferon-based therapy after interferon-free regimens were reimbursed can therefore inform both national policy and the broader question of what is achievable when curative treatment is listed promptly and subsidized.</w:t>
      </w:r>
    </w:p>
    <w:p>
      <w:r>
        <w:t>Two outcomes are possible at the population level once such a therapy is approved and reimbursed. National use of the prior standard may fall steeply, indicating that the older therapy was being used for want of an alternative and that little stands between reimbursement and treatment. Alternatively, use may change slowly, which would point to real practical friction—cost, referral pathways, capacity, or clinical caution—between a therapy becoming available and a population receiving it. Nationwide dispensing data can distinguish these, and the answer is informative because the same question recurs with every new class of therapy. We therefore used NDB Open Data, the national open-data release of Japan's claims database</w:t>
      </w:r>
      <w:r>
        <w:t>[9]</w:t>
      </w:r>
      <w:r>
        <w:t>, to describe how national dispensing of interferon-based therapy and of interferon-free direct-acting antivirals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t>[9]</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t>[5]</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t>[3,10]</w:t>
      </w:r>
      <w:r>
        <w:t>. No measure of news or social-media coverage, or of patient or prescriber exposure to it, was available, so media effects were not included as an exposure in this study.</w:t>
      </w:r>
    </w:p>
    <w:p>
      <w:r>
        <w:t>During the preparation of this manuscript the authors used ChatGPT/GPT-4 for language editing and formatting assistance. After using this tool, the authors reviewed and edited the content and take full responsibility for the final manuscript.</w:t>
      </w:r>
    </w:p>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t>[2]</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395"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395"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t>[11]</w:t>
      </w:r>
      <w:r>
        <w:t>, cross-checked against a residual bootstrap (10,000 resamples)</w:t>
      </w:r>
      <w:r>
        <w:t>[12]</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units in FY2014 to none from FY2016 onward.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behaved differently, as expected for a drug shared by older and newer regimens: it fell from 10,166,159 to 3,124 units in FY2018, then rose 20-fold to 62,956 in FY2019, and was zero from FY2020 onward. Fitted over the fiscal years with positive dispensing (FY2014-FY2019, which include the FY2019 increase), its decline was 76% per year (95% CI 60-85%). Because ribavirin was used with peginterferon and with interferon-free sofosbuvir, this rate describes the combined retreat of both regimens and is not evidence about interferon-based therapy alone.</w:t>
      </w:r>
    </w:p>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The pre-peak segment corresponds to 71% per year but rests on only 2 observations, and its bootstrap interval (-8.6% to 166.8%) includes zero; it is a single year-on-year increment rather than an estimated trend and we do not interpret it as a rate.</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were negligible or absent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t>[13]</w:t>
      </w:r>
      <w:r>
        <w:t>. A national claims study covering more than 98% of Japanese healthcare reported 357,877 patients treated with DAAs between fiscal years 2013 and 2022, a 40% fall in the prevalence of care for chronic hepatitis C, and hepatitis C healthcare costs peaking in 2015</w:t>
      </w:r>
      <w:r>
        <w:t>[14]</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t>[2,4-6]</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t>[7-8]</w:t>
      </w:r>
      <w:r>
        <w:t>. Comparison with settings that lack such a scheme is instructive: among insured United States adults diagnosed in 2019-2020, only 23-35% started DAA treatment within a year, varying by payer</w:t>
      </w:r>
      <w:r>
        <w:t>[15]</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pPr>
        <w:pStyle w:val="Heading1"/>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as expected when a curative therapy works through a prevalent population. The speed of the switch shows what is possible when a decisively better therapy is listed promptly and made affordable; it does not follow that other therapies, or the same therapy in systems without comparable coverage and subsidy, would be adopted as quickly.</w:t>
      </w:r>
    </w:p>
    <w:p>
      <w:pPr>
        <w:pStyle w:val="Heading1"/>
      </w:pPr>
      <w:r>
        <w:t>Statements and Declarations</w:t>
      </w:r>
    </w:p>
    <w:p>
      <w:pPr>
        <w:pStyle w:val="Heading2"/>
      </w:pPr>
      <w:r>
        <w:t>Funding</w:t>
      </w:r>
    </w:p>
    <w:p>
      <w:r>
        <w:t>This research received no specific grant from any funding agency.</w:t>
      </w:r>
    </w:p>
    <w:p>
      <w:pPr>
        <w:pStyle w:val="Heading2"/>
      </w:pPr>
      <w:r>
        <w:t>Competing Interests</w:t>
      </w:r>
    </w:p>
    <w:p>
      <w:r>
        <w:t>The authors declare no competing interests.</w:t>
      </w:r>
    </w:p>
    <w:p>
      <w:pPr>
        <w:pStyle w:val="Heading2"/>
      </w:pPr>
      <w:r>
        <w:t>Ethics approval</w:t>
      </w:r>
    </w:p>
    <w:p>
      <w:r>
        <w:t>This study used only publicly available, aggregated national open data (NDB Open Data) containing no individual-level or identifiable information; ethics-committee approval was not required.</w:t>
      </w:r>
    </w:p>
    <w:p>
      <w:pPr>
        <w:pStyle w:val="Heading2"/>
      </w:pPr>
      <w:r>
        <w:t>Consent to participate</w:t>
      </w:r>
    </w:p>
    <w:p>
      <w:r>
        <w:t>Not applicable: this study used only aggregated, publicly available dispensing data.</w:t>
      </w:r>
    </w:p>
    <w:p>
      <w:pPr>
        <w:pStyle w:val="Heading2"/>
      </w:pPr>
      <w:r>
        <w:t>Consent to publish</w:t>
      </w:r>
    </w:p>
    <w:p>
      <w:r>
        <w:t>Not applicable: this study used only aggregated, publicly available dispensing data.</w:t>
      </w:r>
    </w:p>
    <w:p>
      <w:pPr>
        <w:pStyle w:val="Heading2"/>
      </w:pPr>
      <w:r>
        <w:t>Data and code availability</w:t>
      </w:r>
    </w:p>
    <w:p>
      <w:r>
        <w:t>All analysis code, derived datasets, and the figure/manuscript generators are openly available at https://github.com/bougtoir/ndb-dea-drug-lag. The raw NDB Open Data workbooks are published by the Ministry of Health, Labour and Welfare and are re-downloadable with scripts/download_ndb.py, so the full pipeline (download, build, analyze, figures, manuscript) reproduces every reported number, figure, and table from the public data.</w:t>
      </w:r>
    </w:p>
    <w:p>
      <w:pPr>
        <w:pStyle w:val="Heading2"/>
      </w:pPr>
      <w:r>
        <w:t>Authors' contributions</w:t>
      </w:r>
    </w:p>
    <w:p>
      <w:r>
        <w:t>To be completed by the authors using the CRediT taxonomy. Example: [Author A]: Conceptualization, Methodology, Writing – original draft; [Author B]: ... All authors read and approved the final manuscript.</w:t>
      </w:r>
    </w:p>
    <w:p>
      <w:pPr>
        <w:pStyle w:val="Heading1"/>
      </w:pPr>
      <w:r>
        <w:t>References</w:t>
      </w:r>
    </w:p>
    <w:p>
      <w:pPr>
        <w:ind w:left="432" w:hanging="432"/>
      </w:pPr>
      <w:r>
        <w:t>1. Tanaka M, Idei M, Sakaguchi H, Kato R, Sato D, Sawanobori K, et al. Evolving landscape of new drug approval in Japan and lags from international birth dates: retrospective regulatory analysis. Clin Pharmacol Ther. 2021;109(5):1265-1273. https://doi.org/10.1002/cpt.2080</w:t>
      </w:r>
    </w:p>
    <w:p>
      <w:pPr>
        <w:ind w:left="432" w:hanging="432"/>
      </w:pPr>
      <w:r>
        <w:t>2. Drafting Committee for Hepatitis Management Guidelines, the Japan Society of Hepatology. Japan Society of Hepatology guidelines for the management of hepatitis C virus infection: 2019 update. Hepatol Res. 2020;50(7):791-816. https://doi.org/10.1111/hepr.13503</w:t>
      </w:r>
    </w:p>
    <w:p>
      <w:pPr>
        <w:ind w:left="432" w:hanging="432"/>
      </w:pPr>
      <w:r>
        <w:t>3.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12 September 2026).</w:t>
      </w:r>
    </w:p>
    <w:p>
      <w:pPr>
        <w:ind w:left="432" w:hanging="432"/>
      </w:pPr>
      <w:r>
        <w:t>4. Kumada H, Suzuki Y, Ikeda K, Toyota J, Karino Y, Chayama K, et al. Daclatasvir plus asunaprevir for chronic HCV genotype 1b infection. Hepatology. 2014;59(6):2083-2091. https://doi.org/10.1002/hep.27113</w:t>
      </w:r>
    </w:p>
    <w:p>
      <w:pPr>
        <w:ind w:left="432" w:hanging="432"/>
      </w:pPr>
      <w:r>
        <w:t>5. Omata M, Nishiguchi S, Ueno Y, Mochizuki H, Izumi N, Ikeda F, et al. Sofosbuvir plus ribavirin in Japanese patients with chronic genotype 2 HCV infection: an open-label, phase 3 trial. J Viral Hepat. 2014;21(11):762-768. https://doi.org/10.1111/jvh.12312</w:t>
      </w:r>
    </w:p>
    <w:p>
      <w:pPr>
        <w:ind w:left="432" w:hanging="432"/>
      </w:pPr>
      <w:r>
        <w:t>6. Mizokami M, Yokosuka O, Takehara T, Sakamoto N, Korenaga M, Mochizuki H, et al. Ledipasvir and sofosbuvir fixed-dose combination with and without ribavirin for 12 weeks in treatment-naive and previously treated Japanese patients with genotype 1 hepatitis C: an open-label, randomised, phase 3 trial. Lancet Infect Dis. 2015;15(6):645-653. https://doi.org/10.1016/S1473-3099(15)70099-X</w:t>
      </w:r>
    </w:p>
    <w:p>
      <w:pPr>
        <w:ind w:left="432" w:hanging="432"/>
      </w:pPr>
      <w:r>
        <w:t>7. Setoyama H, Tanaka Y, Kanto T. Seamless support from screening to anti-HCV treatment and HCC/decompensated cirrhosis: subsidy programs for HCV elimination. Glob Health Med. 2021;3(5):335-342. https://doi.org/10.35772/ghm.2021.01079</w:t>
      </w:r>
    </w:p>
    <w:p>
      <w:pPr>
        <w:ind w:left="432" w:hanging="432"/>
      </w:pPr>
      <w:r>
        <w:t>8.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12 September 2026).</w:t>
      </w:r>
    </w:p>
    <w:p>
      <w:pPr>
        <w:ind w:left="432" w:hanging="432"/>
      </w:pPr>
      <w:r>
        <w:t>9. Ministry of Health, Labour and Welfare (Japan). NDB Open Data (1st-10th editions). https://www.mhlw.go.jp/stf/seisakunitsuite/bunya/0000177182.html (accessed 12 September 2026).</w:t>
      </w:r>
    </w:p>
    <w:p>
      <w:pPr>
        <w:ind w:left="432" w:hanging="432"/>
      </w:pPr>
      <w:r>
        <w:t>10. Ministry of Health, Labour and Welfare (Japan), Central Social Insurance Medical Council (Chuikyo). Records of National Health Insurance drug-price listings of direct-acting antivirals for hepatitis C, 2014-2017 (Chuikyo plenary minutes and Health Insurance Bureau notifications; see data/announcement_events.csv for the document cited for each date). https://www.mhlw.go.jp/stf/shingi/shingi-chuo_128154.html (accessed 12 September 2026).</w:t>
      </w:r>
    </w:p>
    <w:p>
      <w:pPr>
        <w:ind w:left="432" w:hanging="432"/>
      </w:pPr>
      <w:r>
        <w:t>11. Newey WK, West KD. A simple, positive semi-definite, heteroskedasticity and autocorrelation consistent covariance matrix. Econometrica. 1987;55(3):703-708. https://doi.org/10.2307/1913610</w:t>
      </w:r>
    </w:p>
    <w:p>
      <w:pPr>
        <w:ind w:left="432" w:hanging="432"/>
      </w:pPr>
      <w:r>
        <w:t>12. Efron B, Tibshirani RJ. An Introduction to the Bootstrap. New York: Chapman &amp; Hall; 1993.</w:t>
      </w:r>
    </w:p>
    <w:p>
      <w:pPr>
        <w:ind w:left="432" w:hanging="432"/>
      </w:pPr>
      <w:r>
        <w:t>13. Tanaka J, Akita T, Ohisa M, Sakamune K, Ko K, Uchida S, et al. Trends in the total numbers of HBV and HCV carriers in Japan from 2000 to 2011. J Viral Hepat. 2018;25(4):363-372. https://doi.org/10.1111/jvh.12828</w:t>
      </w:r>
    </w:p>
    <w:p>
      <w:pPr>
        <w:ind w:left="432" w:hanging="432"/>
      </w:pPr>
      <w:r>
        <w:t>14. Yamashita S, Kanda N, Hashimoto H, Yoshimoto H, Goda K, Mitsutake N, et al. Trends in the healthcare burden of hepatitis C after the introduction of direct-acting antivirals in Japan, 2013-2022: a national claims database study in Japan. Int J Infect Dis. 2025;160:108043. https://doi.org/10.1016/j.ijid.2025.108043</w:t>
      </w:r>
    </w:p>
    <w:p>
      <w:pPr>
        <w:ind w:left="432" w:hanging="432"/>
      </w:pPr>
      <w:r>
        <w:t>15. Thompson WW, Symum H, Sandul A, Gupta N, Patel P, Nelson N, et al. Vital signs: hepatitis C treatment among insured adults - United States, 2019-2020. MMWR Morb Mortal Wkly Rep. 2022;71(32):1011-1017. https://doi.org/10.15585/mmwr.mm7132e1</w:t>
      </w:r>
    </w:p>
    <w:p>
      <w:pPr>
        <w:pStyle w:val="Heading1"/>
      </w:pPr>
      <w:r>
        <w:t>Figure Legends</w:t>
      </w:r>
    </w:p>
    <w:p>
      <w: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r>
        <w:t>Figure 2. Interferon-free DAA dispensed quantity by product, fiscal years 2014-2023. Elbasvir and grazoprevir are shown separately because the NDB product files list the co-packaged components individually; ombitasvir/paritaprevir/ritonavir is a single co-formulated product.</w:t>
      </w:r>
    </w:p>
    <w:p>
      <w:r>
        <w:t>Figure 3. Estimated national hepatitis C antiviral treatment volume (interferon-free DAA courses plus peginterferon courses) and the DAA share of it. Ribavirin is excluded because it accompanied both interferon-based and interferon-free regimens.</w:t>
      </w:r>
    </w:p>
    <w:p>
      <w:r>
        <w:br w:type="page"/>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768"/>
        <w:gridCol w:w="1768"/>
        <w:gridCol w:w="1768"/>
        <w:gridCol w:w="1768"/>
        <w:gridCol w:w="1768"/>
      </w:tblGrid>
      <w:tr>
        <w:tc>
          <w:tcPr>
            <w:tcW w:type="dxa" w:w="1768"/>
          </w:tcPr>
          <w:p>
            <w:r>
              <w:rPr>
                <w:b/>
                <w:sz w:val="15"/>
              </w:rPr>
              <w:t>FY</w:t>
            </w:r>
          </w:p>
        </w:tc>
        <w:tc>
          <w:tcPr>
            <w:tcW w:type="dxa" w:w="1768"/>
          </w:tcPr>
          <w:p>
            <w:r>
              <w:rPr>
                <w:b/>
                <w:sz w:val="15"/>
              </w:rPr>
              <w:t>Date</w:t>
            </w:r>
          </w:p>
        </w:tc>
        <w:tc>
          <w:tcPr>
            <w:tcW w:type="dxa" w:w="1768"/>
          </w:tcPr>
          <w:p>
            <w:r>
              <w:rPr>
                <w:b/>
                <w:sz w:val="15"/>
              </w:rPr>
              <w:t>Drug</w:t>
            </w:r>
          </w:p>
        </w:tc>
        <w:tc>
          <w:tcPr>
            <w:tcW w:type="dxa" w:w="1768"/>
          </w:tcPr>
          <w:p>
            <w:r>
              <w:rPr>
                <w:b/>
                <w:sz w:val="15"/>
              </w:rPr>
              <w:t>Milestone</w:t>
            </w:r>
          </w:p>
        </w:tc>
        <w:tc>
          <w:tcPr>
            <w:tcW w:type="dxa" w:w="1768"/>
          </w:tcPr>
          <w:p>
            <w:r>
              <w:rPr>
                <w:b/>
                <w:sz w:val="15"/>
              </w:rPr>
              <w:t>Source</w:t>
            </w:r>
          </w:p>
        </w:tc>
      </w:tr>
      <w:tr>
        <w:tc>
          <w:tcPr>
            <w:tcW w:type="dxa" w:w="1768"/>
          </w:tcPr>
          <w:p>
            <w:r>
              <w:rPr>
                <w:sz w:val="15"/>
              </w:rPr>
              <w:t>2014</w:t>
            </w:r>
          </w:p>
        </w:tc>
        <w:tc>
          <w:tcPr>
            <w:tcW w:type="dxa" w:w="1768"/>
          </w:tcPr>
          <w:p>
            <w:r>
              <w:rPr>
                <w:sz w:val="15"/>
              </w:rPr>
              <w:t>2014-07-04</w:t>
            </w:r>
          </w:p>
        </w:tc>
        <w:tc>
          <w:tcPr>
            <w:tcW w:type="dxa" w:w="1768"/>
          </w:tcPr>
          <w:p>
            <w:r>
              <w:rPr>
                <w:sz w:val="15"/>
              </w:rPr>
              <w:t>daclatasvir + asunaprevir</w:t>
            </w:r>
          </w:p>
        </w:tc>
        <w:tc>
          <w:tcPr>
            <w:tcW w:type="dxa" w:w="1768"/>
          </w:tcPr>
          <w:p>
            <w:r>
              <w:rPr>
                <w:sz w:val="15"/>
              </w:rPr>
              <w:t>approval</w:t>
            </w:r>
          </w:p>
        </w:tc>
        <w:tc>
          <w:tcPr>
            <w:tcW w:type="dxa" w:w="1768"/>
          </w:tcPr>
          <w:p>
            <w:r>
              <w:rPr>
                <w:sz w:val="15"/>
              </w:rPr>
              <w:t>Approval date 2014-07-04 (asunaprevir and daclatasvir package inserts); Bristol-Myers Squibb K.K. press release, 2014-07-04</w:t>
            </w:r>
          </w:p>
        </w:tc>
      </w:tr>
      <w:tr>
        <w:tc>
          <w:tcPr>
            <w:tcW w:type="dxa" w:w="1768"/>
          </w:tcPr>
          <w:p>
            <w:r>
              <w:rPr>
                <w:sz w:val="15"/>
              </w:rPr>
              <w:t>2014</w:t>
            </w:r>
          </w:p>
        </w:tc>
        <w:tc>
          <w:tcPr>
            <w:tcW w:type="dxa" w:w="1768"/>
          </w:tcPr>
          <w:p>
            <w:r>
              <w:rPr>
                <w:sz w:val="15"/>
              </w:rPr>
              <w:t>2014-09-02</w:t>
            </w:r>
          </w:p>
        </w:tc>
        <w:tc>
          <w:tcPr>
            <w:tcW w:type="dxa" w:w="1768"/>
          </w:tcPr>
          <w:p>
            <w:r>
              <w:rPr>
                <w:sz w:val="15"/>
              </w:rPr>
              <w:t>daclatasvir + asunaprevir</w:t>
            </w:r>
          </w:p>
        </w:tc>
        <w:tc>
          <w:tcPr>
            <w:tcW w:type="dxa" w:w="1768"/>
          </w:tcPr>
          <w:p>
            <w:r>
              <w:rPr>
                <w:sz w:val="15"/>
              </w:rPr>
              <w:t>NHI listing</w:t>
            </w:r>
          </w:p>
        </w:tc>
        <w:tc>
          <w:tcPr>
            <w:tcW w:type="dxa" w:w="1768"/>
          </w:tcPr>
          <w:p>
            <w:r>
              <w:rPr>
                <w:sz w:val="15"/>
              </w:rPr>
              <w:t>NHI drug-price listing date 2014-09-02 (asunaprevir and daclatasvir package inserts); market launch 2014-09-03 (Bristol-Myers Squibb K.K. press release)</w:t>
            </w:r>
          </w:p>
        </w:tc>
      </w:tr>
      <w:tr>
        <w:tc>
          <w:tcPr>
            <w:tcW w:type="dxa" w:w="1768"/>
          </w:tcPr>
          <w:p>
            <w:r>
              <w:rPr>
                <w:sz w:val="15"/>
              </w:rPr>
              <w:t>2015</w:t>
            </w:r>
          </w:p>
        </w:tc>
        <w:tc>
          <w:tcPr>
            <w:tcW w:type="dxa" w:w="1768"/>
          </w:tcPr>
          <w:p>
            <w:r>
              <w:rPr>
                <w:sz w:val="15"/>
              </w:rPr>
              <w:t>2015-03-26</w:t>
            </w:r>
          </w:p>
        </w:tc>
        <w:tc>
          <w:tcPr>
            <w:tcW w:type="dxa" w:w="1768"/>
          </w:tcPr>
          <w:p>
            <w:r>
              <w:rPr>
                <w:sz w:val="15"/>
              </w:rPr>
              <w:t>sofosbuvir</w:t>
            </w:r>
          </w:p>
        </w:tc>
        <w:tc>
          <w:tcPr>
            <w:tcW w:type="dxa" w:w="1768"/>
          </w:tcPr>
          <w:p>
            <w:r>
              <w:rPr>
                <w:sz w:val="15"/>
              </w:rPr>
              <w:t>approval</w:t>
            </w:r>
          </w:p>
        </w:tc>
        <w:tc>
          <w:tcPr>
            <w:tcW w:type="dxa" w:w="1768"/>
          </w:tcPr>
          <w:p>
            <w:r>
              <w:rPr>
                <w:sz w:val="15"/>
              </w:rPr>
              <w:t>Sofosbuvir approval date 2015-03-26 (package insert / interview form)</w:t>
            </w:r>
          </w:p>
        </w:tc>
      </w:tr>
      <w:tr>
        <w:tc>
          <w:tcPr>
            <w:tcW w:type="dxa" w:w="1768"/>
          </w:tcPr>
          <w:p>
            <w:r>
              <w:rPr>
                <w:sz w:val="15"/>
              </w:rPr>
              <w:t>2015</w:t>
            </w:r>
          </w:p>
        </w:tc>
        <w:tc>
          <w:tcPr>
            <w:tcW w:type="dxa" w:w="1768"/>
          </w:tcPr>
          <w:p>
            <w:r>
              <w:rPr>
                <w:sz w:val="15"/>
              </w:rPr>
              <w:t>2015-05-20</w:t>
            </w:r>
          </w:p>
        </w:tc>
        <w:tc>
          <w:tcPr>
            <w:tcW w:type="dxa" w:w="1768"/>
          </w:tcPr>
          <w:p>
            <w:r>
              <w:rPr>
                <w:sz w:val="15"/>
              </w:rPr>
              <w:t>sofosbuvir</w:t>
            </w:r>
          </w:p>
        </w:tc>
        <w:tc>
          <w:tcPr>
            <w:tcW w:type="dxa" w:w="1768"/>
          </w:tcPr>
          <w:p>
            <w:r>
              <w:rPr>
                <w:sz w:val="15"/>
              </w:rPr>
              <w:t>NHI listing</w:t>
            </w:r>
          </w:p>
        </w:tc>
        <w:tc>
          <w:tcPr>
            <w:tcW w:type="dxa" w:w="1768"/>
          </w:tcPr>
          <w:p>
            <w:r>
              <w:rPr>
                <w:sz w:val="15"/>
              </w:rPr>
              <w:t>NHI listing 2015-05-20 (Chuikyo plenary decision 2015-05-13; MHLW Health Insurance Bureau notification Ho-i-hatsu 0519 No. 1)</w:t>
            </w:r>
          </w:p>
        </w:tc>
      </w:tr>
      <w:tr>
        <w:tc>
          <w:tcPr>
            <w:tcW w:type="dxa" w:w="1768"/>
          </w:tcPr>
          <w:p>
            <w:r>
              <w:rPr>
                <w:sz w:val="15"/>
              </w:rPr>
              <w:t>2015</w:t>
            </w:r>
          </w:p>
        </w:tc>
        <w:tc>
          <w:tcPr>
            <w:tcW w:type="dxa" w:w="1768"/>
          </w:tcPr>
          <w:p>
            <w:r>
              <w:rPr>
                <w:sz w:val="15"/>
              </w:rPr>
              <w:t>2015-07-03</w:t>
            </w:r>
          </w:p>
        </w:tc>
        <w:tc>
          <w:tcPr>
            <w:tcW w:type="dxa" w:w="1768"/>
          </w:tcPr>
          <w:p>
            <w:r>
              <w:rPr>
                <w:sz w:val="15"/>
              </w:rPr>
              <w:t>ledipasvir/sofosbuvir</w:t>
            </w:r>
          </w:p>
        </w:tc>
        <w:tc>
          <w:tcPr>
            <w:tcW w:type="dxa" w:w="1768"/>
          </w:tcPr>
          <w:p>
            <w:r>
              <w:rPr>
                <w:sz w:val="15"/>
              </w:rPr>
              <w:t>approval</w:t>
            </w:r>
          </w:p>
        </w:tc>
        <w:tc>
          <w:tcPr>
            <w:tcW w:type="dxa" w:w="1768"/>
          </w:tcPr>
          <w:p>
            <w:r>
              <w:rPr>
                <w:sz w:val="15"/>
              </w:rPr>
              <w:t>MHLW marketing approval 2015-07-03 (package insert; reported by Asahi Shimbun, 2015-07-04)</w:t>
            </w:r>
          </w:p>
        </w:tc>
      </w:tr>
      <w:tr>
        <w:tc>
          <w:tcPr>
            <w:tcW w:type="dxa" w:w="1768"/>
          </w:tcPr>
          <w:p>
            <w:r>
              <w:rPr>
                <w:sz w:val="15"/>
              </w:rPr>
              <w:t>2015</w:t>
            </w:r>
          </w:p>
        </w:tc>
        <w:tc>
          <w:tcPr>
            <w:tcW w:type="dxa" w:w="1768"/>
          </w:tcPr>
          <w:p>
            <w:r>
              <w:rPr>
                <w:sz w:val="15"/>
              </w:rPr>
              <w:t>2015-08-31</w:t>
            </w:r>
          </w:p>
        </w:tc>
        <w:tc>
          <w:tcPr>
            <w:tcW w:type="dxa" w:w="1768"/>
          </w:tcPr>
          <w:p>
            <w:r>
              <w:rPr>
                <w:sz w:val="15"/>
              </w:rPr>
              <w:t>ledipasvir/sofosbuvir</w:t>
            </w:r>
          </w:p>
        </w:tc>
        <w:tc>
          <w:tcPr>
            <w:tcW w:type="dxa" w:w="1768"/>
          </w:tcPr>
          <w:p>
            <w:r>
              <w:rPr>
                <w:sz w:val="15"/>
              </w:rPr>
              <w:t>NHI listing</w:t>
            </w:r>
          </w:p>
        </w:tc>
        <w:tc>
          <w:tcPr>
            <w:tcW w:type="dxa" w:w="1768"/>
          </w:tcPr>
          <w:p>
            <w:r>
              <w:rPr>
                <w:sz w:val="15"/>
              </w:rPr>
              <w:t>Ledipasvir/sofosbuvir NHI drug-price listing date 2015-08-31 (package insert)</w:t>
            </w:r>
          </w:p>
        </w:tc>
      </w:tr>
      <w:tr>
        <w:tc>
          <w:tcPr>
            <w:tcW w:type="dxa" w:w="1768"/>
          </w:tcPr>
          <w:p>
            <w:r>
              <w:rPr>
                <w:sz w:val="15"/>
              </w:rPr>
              <w:t>2017</w:t>
            </w:r>
          </w:p>
        </w:tc>
        <w:tc>
          <w:tcPr>
            <w:tcW w:type="dxa" w:w="1768"/>
          </w:tcPr>
          <w:p>
            <w:r>
              <w:rPr>
                <w:sz w:val="15"/>
              </w:rPr>
              <w:t>2017-09-27</w:t>
            </w:r>
          </w:p>
        </w:tc>
        <w:tc>
          <w:tcPr>
            <w:tcW w:type="dxa" w:w="1768"/>
          </w:tcPr>
          <w:p>
            <w:r>
              <w:rPr>
                <w:sz w:val="15"/>
              </w:rPr>
              <w:t>glecaprevir/pibrentasvir</w:t>
            </w:r>
          </w:p>
        </w:tc>
        <w:tc>
          <w:tcPr>
            <w:tcW w:type="dxa" w:w="1768"/>
          </w:tcPr>
          <w:p>
            <w:r>
              <w:rPr>
                <w:sz w:val="15"/>
              </w:rPr>
              <w:t>approval</w:t>
            </w:r>
          </w:p>
        </w:tc>
        <w:tc>
          <w:tcPr>
            <w:tcW w:type="dxa" w:w="1768"/>
          </w:tcPr>
          <w:p>
            <w:r>
              <w:rPr>
                <w:sz w:val="15"/>
              </w:rPr>
              <w:t>Marketing approval 2017-09-27 (PMDA/MHLW; AbbVie GK)</w:t>
            </w:r>
          </w:p>
        </w:tc>
      </w:tr>
      <w:tr>
        <w:tc>
          <w:tcPr>
            <w:tcW w:type="dxa" w:w="1768"/>
          </w:tcPr>
          <w:p>
            <w:r>
              <w:rPr>
                <w:sz w:val="15"/>
              </w:rPr>
              <w:t>2017</w:t>
            </w:r>
          </w:p>
        </w:tc>
        <w:tc>
          <w:tcPr>
            <w:tcW w:type="dxa" w:w="1768"/>
          </w:tcPr>
          <w:p>
            <w:r>
              <w:rPr>
                <w:sz w:val="15"/>
              </w:rPr>
              <w:t>2017-11-22</w:t>
            </w:r>
          </w:p>
        </w:tc>
        <w:tc>
          <w:tcPr>
            <w:tcW w:type="dxa" w:w="1768"/>
          </w:tcPr>
          <w:p>
            <w:r>
              <w:rPr>
                <w:sz w:val="15"/>
              </w:rPr>
              <w:t>glecaprevir/pibrentasvir</w:t>
            </w:r>
          </w:p>
        </w:tc>
        <w:tc>
          <w:tcPr>
            <w:tcW w:type="dxa" w:w="1768"/>
          </w:tcPr>
          <w:p>
            <w:r>
              <w:rPr>
                <w:sz w:val="15"/>
              </w:rPr>
              <w:t>NHI listing</w:t>
            </w:r>
          </w:p>
        </w:tc>
        <w:tc>
          <w:tcPr>
            <w:tcW w:type="dxa" w:w="1768"/>
          </w:tcPr>
          <w:p>
            <w:r>
              <w:rPr>
                <w:sz w:val="15"/>
              </w:rPr>
              <w:t>Glecaprevir/pibrentasvir NHI drug-price listing date 2017-11-22 (Chuikyo plenary decision 2017-11-15; package insert); market launch 2017-11-27</w:t>
            </w:r>
          </w:p>
        </w:tc>
      </w:tr>
    </w:tbl>
    <w:p>
      <w:r>
        <w:br w:type="page"/>
      </w:r>
    </w:p>
    <w:p>
      <w:pPr>
        <w:spacing w:before="280"/>
      </w:pPr>
      <w:r>
        <w:rPr>
          <w:b/>
          <w:sz w:val="18"/>
        </w:rPr>
        <w:t>Table 2. National dispensed quantity by drug group and fiscal year (NDB Open Data). Units differ across groups and are not additive.</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73"/>
        <w:gridCol w:w="1473"/>
        <w:gridCol w:w="1473"/>
        <w:gridCol w:w="1473"/>
        <w:gridCol w:w="1473"/>
        <w:gridCol w:w="1473"/>
      </w:tblGrid>
      <w:tr>
        <w:tc>
          <w:tcPr>
            <w:tcW w:type="dxa" w:w="1473"/>
          </w:tcPr>
          <w:p>
            <w:r>
              <w:rPr>
                <w:b/>
                <w:sz w:val="15"/>
              </w:rPr>
              <w:t>Fiscal year</w:t>
            </w:r>
          </w:p>
        </w:tc>
        <w:tc>
          <w:tcPr>
            <w:tcW w:type="dxa" w:w="1473"/>
          </w:tcPr>
          <w:p>
            <w:r>
              <w:rPr>
                <w:b/>
                <w:sz w:val="15"/>
              </w:rPr>
              <w:t>Peginterferon (syringes)</w:t>
            </w:r>
          </w:p>
        </w:tc>
        <w:tc>
          <w:tcPr>
            <w:tcW w:type="dxa" w:w="1473"/>
          </w:tcPr>
          <w:p>
            <w:r>
              <w:rPr>
                <w:b/>
                <w:sz w:val="15"/>
              </w:rPr>
              <w:t>First-generation protease inhibitors (with peginterferon)</w:t>
            </w:r>
          </w:p>
        </w:tc>
        <w:tc>
          <w:tcPr>
            <w:tcW w:type="dxa" w:w="1473"/>
          </w:tcPr>
          <w:p>
            <w:r>
              <w:rPr>
                <w:b/>
                <w:sz w:val="15"/>
              </w:rPr>
              <w:t>Conventional interferon (not hepatitis-C-specific)</w:t>
            </w:r>
          </w:p>
        </w:tc>
        <w:tc>
          <w:tcPr>
            <w:tcW w:type="dxa" w:w="1473"/>
          </w:tcPr>
          <w:p>
            <w:r>
              <w:rPr>
                <w:b/>
                <w:sz w:val="15"/>
              </w:rPr>
              <w:t>Ribavirin (both regimens)</w:t>
            </w:r>
          </w:p>
        </w:tc>
        <w:tc>
          <w:tcPr>
            <w:tcW w:type="dxa" w:w="1473"/>
          </w:tcPr>
          <w:p>
            <w:r>
              <w:rPr>
                <w:b/>
                <w:sz w:val="15"/>
              </w:rPr>
              <w:t>Interferon-free DAA total</w:t>
            </w:r>
          </w:p>
        </w:tc>
      </w:tr>
      <w:tr>
        <w:tc>
          <w:tcPr>
            <w:tcW w:type="dxa" w:w="1473"/>
          </w:tcPr>
          <w:p>
            <w:r>
              <w:rPr>
                <w:sz w:val="15"/>
              </w:rPr>
              <w:t>2014</w:t>
            </w:r>
          </w:p>
        </w:tc>
        <w:tc>
          <w:tcPr>
            <w:tcW w:type="dxa" w:w="1473"/>
          </w:tcPr>
          <w:p>
            <w:r>
              <w:rPr>
                <w:sz w:val="15"/>
              </w:rPr>
              <w:t>619,333</w:t>
            </w:r>
          </w:p>
        </w:tc>
        <w:tc>
          <w:tcPr>
            <w:tcW w:type="dxa" w:w="1473"/>
          </w:tcPr>
          <w:p>
            <w:r>
              <w:rPr>
                <w:sz w:val="15"/>
              </w:rPr>
              <w:t>826,748</w:t>
            </w:r>
          </w:p>
        </w:tc>
        <w:tc>
          <w:tcPr>
            <w:tcW w:type="dxa" w:w="1473"/>
          </w:tcPr>
          <w:p>
            <w:r>
              <w:rPr>
                <w:sz w:val="15"/>
              </w:rPr>
              <w:t>326,802</w:t>
            </w:r>
          </w:p>
        </w:tc>
        <w:tc>
          <w:tcPr>
            <w:tcW w:type="dxa" w:w="1473"/>
          </w:tcPr>
          <w:p>
            <w:r>
              <w:rPr>
                <w:sz w:val="15"/>
              </w:rPr>
              <w:t>10,166,159</w:t>
            </w:r>
          </w:p>
        </w:tc>
        <w:tc>
          <w:tcPr>
            <w:tcW w:type="dxa" w:w="1473"/>
          </w:tcPr>
          <w:p>
            <w:r>
              <w:rPr>
                <w:sz w:val="15"/>
              </w:rPr>
              <w:t>6,736,616</w:t>
            </w:r>
          </w:p>
        </w:tc>
      </w:tr>
      <w:tr>
        <w:tc>
          <w:tcPr>
            <w:tcW w:type="dxa" w:w="1473"/>
          </w:tcPr>
          <w:p>
            <w:r>
              <w:rPr>
                <w:sz w:val="15"/>
              </w:rPr>
              <w:t>2015</w:t>
            </w:r>
          </w:p>
        </w:tc>
        <w:tc>
          <w:tcPr>
            <w:tcW w:type="dxa" w:w="1473"/>
          </w:tcPr>
          <w:p>
            <w:r>
              <w:rPr>
                <w:sz w:val="15"/>
              </w:rPr>
              <w:t>131,081</w:t>
            </w:r>
          </w:p>
        </w:tc>
        <w:tc>
          <w:tcPr>
            <w:tcW w:type="dxa" w:w="1473"/>
          </w:tcPr>
          <w:p>
            <w:r>
              <w:rPr>
                <w:sz w:val="15"/>
              </w:rPr>
              <w:t>173,122</w:t>
            </w:r>
          </w:p>
        </w:tc>
        <w:tc>
          <w:tcPr>
            <w:tcW w:type="dxa" w:w="1473"/>
          </w:tcPr>
          <w:p>
            <w:r>
              <w:rPr>
                <w:sz w:val="15"/>
              </w:rPr>
              <w:t>224,563</w:t>
            </w:r>
          </w:p>
        </w:tc>
        <w:tc>
          <w:tcPr>
            <w:tcW w:type="dxa" w:w="1473"/>
          </w:tcPr>
          <w:p>
            <w:r>
              <w:rPr>
                <w:sz w:val="15"/>
              </w:rPr>
              <w:t>8,100,850</w:t>
            </w:r>
          </w:p>
        </w:tc>
        <w:tc>
          <w:tcPr>
            <w:tcW w:type="dxa" w:w="1473"/>
          </w:tcPr>
          <w:p>
            <w:r>
              <w:rPr>
                <w:sz w:val="15"/>
              </w:rPr>
              <w:t>19,374,861</w:t>
            </w:r>
          </w:p>
        </w:tc>
      </w:tr>
      <w:tr>
        <w:tc>
          <w:tcPr>
            <w:tcW w:type="dxa" w:w="1473"/>
          </w:tcPr>
          <w:p>
            <w:r>
              <w:rPr>
                <w:sz w:val="15"/>
              </w:rPr>
              <w:t>2016</w:t>
            </w:r>
          </w:p>
        </w:tc>
        <w:tc>
          <w:tcPr>
            <w:tcW w:type="dxa" w:w="1473"/>
          </w:tcPr>
          <w:p>
            <w:r>
              <w:rPr>
                <w:sz w:val="15"/>
              </w:rPr>
              <w:t>33,688</w:t>
            </w:r>
          </w:p>
        </w:tc>
        <w:tc>
          <w:tcPr>
            <w:tcW w:type="dxa" w:w="1473"/>
          </w:tcPr>
          <w:p>
            <w:r>
              <w:rPr>
                <w:sz w:val="15"/>
              </w:rPr>
              <w:t>0</w:t>
            </w:r>
          </w:p>
        </w:tc>
        <w:tc>
          <w:tcPr>
            <w:tcW w:type="dxa" w:w="1473"/>
          </w:tcPr>
          <w:p>
            <w:r>
              <w:rPr>
                <w:sz w:val="15"/>
              </w:rPr>
              <w:t>168,967</w:t>
            </w:r>
          </w:p>
        </w:tc>
        <w:tc>
          <w:tcPr>
            <w:tcW w:type="dxa" w:w="1473"/>
          </w:tcPr>
          <w:p>
            <w:r>
              <w:rPr>
                <w:sz w:val="15"/>
              </w:rPr>
              <w:t>4,849,660</w:t>
            </w:r>
          </w:p>
        </w:tc>
        <w:tc>
          <w:tcPr>
            <w:tcW w:type="dxa" w:w="1473"/>
          </w:tcPr>
          <w:p>
            <w:r>
              <w:rPr>
                <w:sz w:val="15"/>
              </w:rPr>
              <w:t>6,783,118</w:t>
            </w:r>
          </w:p>
        </w:tc>
      </w:tr>
      <w:tr>
        <w:tc>
          <w:tcPr>
            <w:tcW w:type="dxa" w:w="1473"/>
          </w:tcPr>
          <w:p>
            <w:r>
              <w:rPr>
                <w:sz w:val="15"/>
              </w:rPr>
              <w:t>2017</w:t>
            </w:r>
          </w:p>
        </w:tc>
        <w:tc>
          <w:tcPr>
            <w:tcW w:type="dxa" w:w="1473"/>
          </w:tcPr>
          <w:p>
            <w:r>
              <w:rPr>
                <w:sz w:val="15"/>
              </w:rPr>
              <w:t>21,176</w:t>
            </w:r>
          </w:p>
        </w:tc>
        <w:tc>
          <w:tcPr>
            <w:tcW w:type="dxa" w:w="1473"/>
          </w:tcPr>
          <w:p>
            <w:r>
              <w:rPr>
                <w:sz w:val="15"/>
              </w:rPr>
              <w:t>0</w:t>
            </w:r>
          </w:p>
        </w:tc>
        <w:tc>
          <w:tcPr>
            <w:tcW w:type="dxa" w:w="1473"/>
          </w:tcPr>
          <w:p>
            <w:r>
              <w:rPr>
                <w:sz w:val="15"/>
              </w:rPr>
              <w:t>130,383</w:t>
            </w:r>
          </w:p>
        </w:tc>
        <w:tc>
          <w:tcPr>
            <w:tcW w:type="dxa" w:w="1473"/>
          </w:tcPr>
          <w:p>
            <w:r>
              <w:rPr>
                <w:sz w:val="15"/>
              </w:rPr>
              <w:t>2,687,890</w:t>
            </w:r>
          </w:p>
        </w:tc>
        <w:tc>
          <w:tcPr>
            <w:tcW w:type="dxa" w:w="1473"/>
          </w:tcPr>
          <w:p>
            <w:r>
              <w:rPr>
                <w:sz w:val="15"/>
              </w:rPr>
              <w:t>5,062,848</w:t>
            </w:r>
          </w:p>
        </w:tc>
      </w:tr>
      <w:tr>
        <w:tc>
          <w:tcPr>
            <w:tcW w:type="dxa" w:w="1473"/>
          </w:tcPr>
          <w:p>
            <w:r>
              <w:rPr>
                <w:sz w:val="15"/>
              </w:rPr>
              <w:t>2018</w:t>
            </w:r>
          </w:p>
        </w:tc>
        <w:tc>
          <w:tcPr>
            <w:tcW w:type="dxa" w:w="1473"/>
          </w:tcPr>
          <w:p>
            <w:r>
              <w:rPr>
                <w:sz w:val="15"/>
              </w:rPr>
              <w:t>14,162</w:t>
            </w:r>
          </w:p>
        </w:tc>
        <w:tc>
          <w:tcPr>
            <w:tcW w:type="dxa" w:w="1473"/>
          </w:tcPr>
          <w:p>
            <w:r>
              <w:rPr>
                <w:sz w:val="15"/>
              </w:rPr>
              <w:t>0</w:t>
            </w:r>
          </w:p>
        </w:tc>
        <w:tc>
          <w:tcPr>
            <w:tcW w:type="dxa" w:w="1473"/>
          </w:tcPr>
          <w:p>
            <w:r>
              <w:rPr>
                <w:sz w:val="15"/>
              </w:rPr>
              <w:t>103,120</w:t>
            </w:r>
          </w:p>
        </w:tc>
        <w:tc>
          <w:tcPr>
            <w:tcW w:type="dxa" w:w="1473"/>
          </w:tcPr>
          <w:p>
            <w:r>
              <w:rPr>
                <w:sz w:val="15"/>
              </w:rPr>
              <w:t>3,124</w:t>
            </w:r>
          </w:p>
        </w:tc>
        <w:tc>
          <w:tcPr>
            <w:tcW w:type="dxa" w:w="1473"/>
          </w:tcPr>
          <w:p>
            <w:r>
              <w:rPr>
                <w:sz w:val="15"/>
              </w:rPr>
              <w:t>5,051,120</w:t>
            </w:r>
          </w:p>
        </w:tc>
      </w:tr>
      <w:tr>
        <w:tc>
          <w:tcPr>
            <w:tcW w:type="dxa" w:w="1473"/>
          </w:tcPr>
          <w:p>
            <w:r>
              <w:rPr>
                <w:sz w:val="15"/>
              </w:rPr>
              <w:t>2019</w:t>
            </w:r>
          </w:p>
        </w:tc>
        <w:tc>
          <w:tcPr>
            <w:tcW w:type="dxa" w:w="1473"/>
          </w:tcPr>
          <w:p>
            <w:r>
              <w:rPr>
                <w:sz w:val="15"/>
              </w:rPr>
              <w:t>10,961</w:t>
            </w:r>
          </w:p>
        </w:tc>
        <w:tc>
          <w:tcPr>
            <w:tcW w:type="dxa" w:w="1473"/>
          </w:tcPr>
          <w:p>
            <w:r>
              <w:rPr>
                <w:sz w:val="15"/>
              </w:rPr>
              <w:t>0</w:t>
            </w:r>
          </w:p>
        </w:tc>
        <w:tc>
          <w:tcPr>
            <w:tcW w:type="dxa" w:w="1473"/>
          </w:tcPr>
          <w:p>
            <w:r>
              <w:rPr>
                <w:sz w:val="15"/>
              </w:rPr>
              <w:t>75,458</w:t>
            </w:r>
          </w:p>
        </w:tc>
        <w:tc>
          <w:tcPr>
            <w:tcW w:type="dxa" w:w="1473"/>
          </w:tcPr>
          <w:p>
            <w:r>
              <w:rPr>
                <w:sz w:val="15"/>
              </w:rPr>
              <w:t>62,956</w:t>
            </w:r>
          </w:p>
        </w:tc>
        <w:tc>
          <w:tcPr>
            <w:tcW w:type="dxa" w:w="1473"/>
          </w:tcPr>
          <w:p>
            <w:r>
              <w:rPr>
                <w:sz w:val="15"/>
              </w:rPr>
              <w:t>3,165,028</w:t>
            </w:r>
          </w:p>
        </w:tc>
      </w:tr>
      <w:tr>
        <w:tc>
          <w:tcPr>
            <w:tcW w:type="dxa" w:w="1473"/>
          </w:tcPr>
          <w:p>
            <w:r>
              <w:rPr>
                <w:sz w:val="15"/>
              </w:rPr>
              <w:t>2020</w:t>
            </w:r>
          </w:p>
        </w:tc>
        <w:tc>
          <w:tcPr>
            <w:tcW w:type="dxa" w:w="1473"/>
          </w:tcPr>
          <w:p>
            <w:r>
              <w:rPr>
                <w:sz w:val="15"/>
              </w:rPr>
              <w:t>8,013</w:t>
            </w:r>
          </w:p>
        </w:tc>
        <w:tc>
          <w:tcPr>
            <w:tcW w:type="dxa" w:w="1473"/>
          </w:tcPr>
          <w:p>
            <w:r>
              <w:rPr>
                <w:sz w:val="15"/>
              </w:rPr>
              <w:t>0</w:t>
            </w:r>
          </w:p>
        </w:tc>
        <w:tc>
          <w:tcPr>
            <w:tcW w:type="dxa" w:w="1473"/>
          </w:tcPr>
          <w:p>
            <w:r>
              <w:rPr>
                <w:sz w:val="15"/>
              </w:rPr>
              <w:t>54,982</w:t>
            </w:r>
          </w:p>
        </w:tc>
        <w:tc>
          <w:tcPr>
            <w:tcW w:type="dxa" w:w="1473"/>
          </w:tcPr>
          <w:p>
            <w:r>
              <w:rPr>
                <w:sz w:val="15"/>
              </w:rPr>
              <w:t>0</w:t>
            </w:r>
          </w:p>
        </w:tc>
        <w:tc>
          <w:tcPr>
            <w:tcW w:type="dxa" w:w="1473"/>
          </w:tcPr>
          <w:p>
            <w:r>
              <w:rPr>
                <w:sz w:val="15"/>
              </w:rPr>
              <w:t>2,356,769</w:t>
            </w:r>
          </w:p>
        </w:tc>
      </w:tr>
      <w:tr>
        <w:tc>
          <w:tcPr>
            <w:tcW w:type="dxa" w:w="1473"/>
          </w:tcPr>
          <w:p>
            <w:r>
              <w:rPr>
                <w:sz w:val="15"/>
              </w:rPr>
              <w:t>2021</w:t>
            </w:r>
          </w:p>
        </w:tc>
        <w:tc>
          <w:tcPr>
            <w:tcW w:type="dxa" w:w="1473"/>
          </w:tcPr>
          <w:p>
            <w:r>
              <w:rPr>
                <w:sz w:val="15"/>
              </w:rPr>
              <w:t>7,534</w:t>
            </w:r>
          </w:p>
        </w:tc>
        <w:tc>
          <w:tcPr>
            <w:tcW w:type="dxa" w:w="1473"/>
          </w:tcPr>
          <w:p>
            <w:r>
              <w:rPr>
                <w:sz w:val="15"/>
              </w:rPr>
              <w:t>0</w:t>
            </w:r>
          </w:p>
        </w:tc>
        <w:tc>
          <w:tcPr>
            <w:tcW w:type="dxa" w:w="1473"/>
          </w:tcPr>
          <w:p>
            <w:r>
              <w:rPr>
                <w:sz w:val="15"/>
              </w:rPr>
              <w:t>45,147</w:t>
            </w:r>
          </w:p>
        </w:tc>
        <w:tc>
          <w:tcPr>
            <w:tcW w:type="dxa" w:w="1473"/>
          </w:tcPr>
          <w:p>
            <w:r>
              <w:rPr>
                <w:sz w:val="15"/>
              </w:rPr>
              <w:t>0</w:t>
            </w:r>
          </w:p>
        </w:tc>
        <w:tc>
          <w:tcPr>
            <w:tcW w:type="dxa" w:w="1473"/>
          </w:tcPr>
          <w:p>
            <w:r>
              <w:rPr>
                <w:sz w:val="15"/>
              </w:rPr>
              <w:t>1,994,076</w:t>
            </w:r>
          </w:p>
        </w:tc>
      </w:tr>
      <w:tr>
        <w:tc>
          <w:tcPr>
            <w:tcW w:type="dxa" w:w="1473"/>
          </w:tcPr>
          <w:p>
            <w:r>
              <w:rPr>
                <w:sz w:val="15"/>
              </w:rPr>
              <w:t>2022</w:t>
            </w:r>
          </w:p>
        </w:tc>
        <w:tc>
          <w:tcPr>
            <w:tcW w:type="dxa" w:w="1473"/>
          </w:tcPr>
          <w:p>
            <w:r>
              <w:rPr>
                <w:sz w:val="15"/>
              </w:rPr>
              <w:t>7,073</w:t>
            </w:r>
          </w:p>
        </w:tc>
        <w:tc>
          <w:tcPr>
            <w:tcW w:type="dxa" w:w="1473"/>
          </w:tcPr>
          <w:p>
            <w:r>
              <w:rPr>
                <w:sz w:val="15"/>
              </w:rPr>
              <w:t>0</w:t>
            </w:r>
          </w:p>
        </w:tc>
        <w:tc>
          <w:tcPr>
            <w:tcW w:type="dxa" w:w="1473"/>
          </w:tcPr>
          <w:p>
            <w:r>
              <w:rPr>
                <w:sz w:val="15"/>
              </w:rPr>
              <w:t>35,298</w:t>
            </w:r>
          </w:p>
        </w:tc>
        <w:tc>
          <w:tcPr>
            <w:tcW w:type="dxa" w:w="1473"/>
          </w:tcPr>
          <w:p>
            <w:r>
              <w:rPr>
                <w:sz w:val="15"/>
              </w:rPr>
              <w:t>0</w:t>
            </w:r>
          </w:p>
        </w:tc>
        <w:tc>
          <w:tcPr>
            <w:tcW w:type="dxa" w:w="1473"/>
          </w:tcPr>
          <w:p>
            <w:r>
              <w:rPr>
                <w:sz w:val="15"/>
              </w:rPr>
              <w:t>1,545,191</w:t>
            </w:r>
          </w:p>
        </w:tc>
      </w:tr>
      <w:tr>
        <w:tc>
          <w:tcPr>
            <w:tcW w:type="dxa" w:w="1473"/>
          </w:tcPr>
          <w:p>
            <w:r>
              <w:rPr>
                <w:sz w:val="15"/>
              </w:rPr>
              <w:t>2023</w:t>
            </w:r>
          </w:p>
        </w:tc>
        <w:tc>
          <w:tcPr>
            <w:tcW w:type="dxa" w:w="1473"/>
          </w:tcPr>
          <w:p>
            <w:r>
              <w:rPr>
                <w:sz w:val="15"/>
              </w:rPr>
              <w:t>4,836</w:t>
            </w:r>
          </w:p>
        </w:tc>
        <w:tc>
          <w:tcPr>
            <w:tcW w:type="dxa" w:w="1473"/>
          </w:tcPr>
          <w:p>
            <w:r>
              <w:rPr>
                <w:sz w:val="15"/>
              </w:rPr>
              <w:t>0</w:t>
            </w:r>
          </w:p>
        </w:tc>
        <w:tc>
          <w:tcPr>
            <w:tcW w:type="dxa" w:w="1473"/>
          </w:tcPr>
          <w:p>
            <w:r>
              <w:rPr>
                <w:sz w:val="15"/>
              </w:rPr>
              <w:t>21,673</w:t>
            </w:r>
          </w:p>
        </w:tc>
        <w:tc>
          <w:tcPr>
            <w:tcW w:type="dxa" w:w="1473"/>
          </w:tcPr>
          <w:p>
            <w:r>
              <w:rPr>
                <w:sz w:val="15"/>
              </w:rPr>
              <w:t>0</w:t>
            </w:r>
          </w:p>
        </w:tc>
        <w:tc>
          <w:tcPr>
            <w:tcW w:type="dxa" w:w="1473"/>
          </w:tcPr>
          <w:p>
            <w:r>
              <w:rPr>
                <w:sz w:val="15"/>
              </w:rPr>
              <w:t>1,527,987</w:t>
            </w:r>
          </w:p>
        </w:tc>
      </w:tr>
    </w:tbl>
    <w:p>
      <w:r>
        <w:br w:type="page"/>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73"/>
        <w:gridCol w:w="1473"/>
        <w:gridCol w:w="1473"/>
        <w:gridCol w:w="1473"/>
        <w:gridCol w:w="1473"/>
        <w:gridCol w:w="1473"/>
      </w:tblGrid>
      <w:tr>
        <w:tc>
          <w:tcPr>
            <w:tcW w:type="dxa" w:w="1473"/>
          </w:tcPr>
          <w:p>
            <w:r>
              <w:rPr>
                <w:b/>
                <w:sz w:val="15"/>
              </w:rPr>
              <w:t>Fiscal year</w:t>
            </w:r>
          </w:p>
        </w:tc>
        <w:tc>
          <w:tcPr>
            <w:tcW w:type="dxa" w:w="1473"/>
          </w:tcPr>
          <w:p>
            <w:r>
              <w:rPr>
                <w:b/>
                <w:sz w:val="15"/>
              </w:rPr>
              <w:t>Interferon-free DAA courses</w:t>
            </w:r>
          </w:p>
        </w:tc>
        <w:tc>
          <w:tcPr>
            <w:tcW w:type="dxa" w:w="1473"/>
          </w:tcPr>
          <w:p>
            <w:r>
              <w:rPr>
                <w:b/>
                <w:sz w:val="15"/>
              </w:rPr>
              <w:t>Interferon-free DAA courses (longer-duration assumption)</w:t>
            </w:r>
          </w:p>
        </w:tc>
        <w:tc>
          <w:tcPr>
            <w:tcW w:type="dxa" w:w="1473"/>
          </w:tcPr>
          <w:p>
            <w:r>
              <w:rPr>
                <w:b/>
                <w:sz w:val="15"/>
              </w:rPr>
              <w:t>Peginterferon courses</w:t>
            </w:r>
          </w:p>
        </w:tc>
        <w:tc>
          <w:tcPr>
            <w:tcW w:type="dxa" w:w="1473"/>
          </w:tcPr>
          <w:p>
            <w:r>
              <w:rPr>
                <w:b/>
                <w:sz w:val="15"/>
              </w:rPr>
              <w:t>Combined treatment volume</w:t>
            </w:r>
          </w:p>
        </w:tc>
        <w:tc>
          <w:tcPr>
            <w:tcW w:type="dxa" w:w="1473"/>
          </w:tcPr>
          <w:p>
            <w:r>
              <w:rPr>
                <w:b/>
                <w:sz w:val="15"/>
              </w:rPr>
              <w:t>DAA share (%)</w:t>
            </w:r>
          </w:p>
        </w:tc>
      </w:tr>
      <w:tr>
        <w:tc>
          <w:tcPr>
            <w:tcW w:type="dxa" w:w="1473"/>
          </w:tcPr>
          <w:p>
            <w:r>
              <w:rPr>
                <w:sz w:val="15"/>
              </w:rPr>
              <w:t>2014</w:t>
            </w:r>
          </w:p>
        </w:tc>
        <w:tc>
          <w:tcPr>
            <w:tcW w:type="dxa" w:w="1473"/>
          </w:tcPr>
          <w:p>
            <w:r>
              <w:rPr>
                <w:sz w:val="15"/>
              </w:rPr>
              <w:t>13,404</w:t>
            </w:r>
          </w:p>
        </w:tc>
        <w:tc>
          <w:tcPr>
            <w:tcW w:type="dxa" w:w="1473"/>
          </w:tcPr>
          <w:p>
            <w:r>
              <w:rPr>
                <w:sz w:val="15"/>
              </w:rPr>
              <w:t>13,404</w:t>
            </w:r>
          </w:p>
        </w:tc>
        <w:tc>
          <w:tcPr>
            <w:tcW w:type="dxa" w:w="1473"/>
          </w:tcPr>
          <w:p>
            <w:r>
              <w:rPr>
                <w:sz w:val="15"/>
              </w:rPr>
              <w:t>12,903</w:t>
            </w:r>
          </w:p>
        </w:tc>
        <w:tc>
          <w:tcPr>
            <w:tcW w:type="dxa" w:w="1473"/>
          </w:tcPr>
          <w:p>
            <w:r>
              <w:rPr>
                <w:sz w:val="15"/>
              </w:rPr>
              <w:t>26,307</w:t>
            </w:r>
          </w:p>
        </w:tc>
        <w:tc>
          <w:tcPr>
            <w:tcW w:type="dxa" w:w="1473"/>
          </w:tcPr>
          <w:p>
            <w:r>
              <w:rPr>
                <w:sz w:val="15"/>
              </w:rPr>
              <w:t>50.9</w:t>
            </w:r>
          </w:p>
        </w:tc>
      </w:tr>
      <w:tr>
        <w:tc>
          <w:tcPr>
            <w:tcW w:type="dxa" w:w="1473"/>
          </w:tcPr>
          <w:p>
            <w:r>
              <w:rPr>
                <w:sz w:val="15"/>
              </w:rPr>
              <w:t>2015</w:t>
            </w:r>
          </w:p>
        </w:tc>
        <w:tc>
          <w:tcPr>
            <w:tcW w:type="dxa" w:w="1473"/>
          </w:tcPr>
          <w:p>
            <w:r>
              <w:rPr>
                <w:sz w:val="15"/>
              </w:rPr>
              <w:t>89,858</w:t>
            </w:r>
          </w:p>
        </w:tc>
        <w:tc>
          <w:tcPr>
            <w:tcW w:type="dxa" w:w="1473"/>
          </w:tcPr>
          <w:p>
            <w:r>
              <w:rPr>
                <w:sz w:val="15"/>
              </w:rPr>
              <w:t>89,858</w:t>
            </w:r>
          </w:p>
        </w:tc>
        <w:tc>
          <w:tcPr>
            <w:tcW w:type="dxa" w:w="1473"/>
          </w:tcPr>
          <w:p>
            <w:r>
              <w:rPr>
                <w:sz w:val="15"/>
              </w:rPr>
              <w:t>2,731</w:t>
            </w:r>
          </w:p>
        </w:tc>
        <w:tc>
          <w:tcPr>
            <w:tcW w:type="dxa" w:w="1473"/>
          </w:tcPr>
          <w:p>
            <w:r>
              <w:rPr>
                <w:sz w:val="15"/>
              </w:rPr>
              <w:t>92,589</w:t>
            </w:r>
          </w:p>
        </w:tc>
        <w:tc>
          <w:tcPr>
            <w:tcW w:type="dxa" w:w="1473"/>
          </w:tcPr>
          <w:p>
            <w:r>
              <w:rPr>
                <w:sz w:val="15"/>
              </w:rPr>
              <w:t>97.0</w:t>
            </w:r>
          </w:p>
        </w:tc>
      </w:tr>
      <w:tr>
        <w:tc>
          <w:tcPr>
            <w:tcW w:type="dxa" w:w="1473"/>
          </w:tcPr>
          <w:p>
            <w:r>
              <w:rPr>
                <w:sz w:val="15"/>
              </w:rPr>
              <w:t>2016</w:t>
            </w:r>
          </w:p>
        </w:tc>
        <w:tc>
          <w:tcPr>
            <w:tcW w:type="dxa" w:w="1473"/>
          </w:tcPr>
          <w:p>
            <w:r>
              <w:rPr>
                <w:sz w:val="15"/>
              </w:rPr>
              <w:t>60,598</w:t>
            </w:r>
          </w:p>
        </w:tc>
        <w:tc>
          <w:tcPr>
            <w:tcW w:type="dxa" w:w="1473"/>
          </w:tcPr>
          <w:p>
            <w:r>
              <w:rPr>
                <w:sz w:val="15"/>
              </w:rPr>
              <w:t>60,598</w:t>
            </w:r>
          </w:p>
        </w:tc>
        <w:tc>
          <w:tcPr>
            <w:tcW w:type="dxa" w:w="1473"/>
          </w:tcPr>
          <w:p>
            <w:r>
              <w:rPr>
                <w:sz w:val="15"/>
              </w:rPr>
              <w:t>702</w:t>
            </w:r>
          </w:p>
        </w:tc>
        <w:tc>
          <w:tcPr>
            <w:tcW w:type="dxa" w:w="1473"/>
          </w:tcPr>
          <w:p>
            <w:r>
              <w:rPr>
                <w:sz w:val="15"/>
              </w:rPr>
              <w:t>61,300</w:t>
            </w:r>
          </w:p>
        </w:tc>
        <w:tc>
          <w:tcPr>
            <w:tcW w:type="dxa" w:w="1473"/>
          </w:tcPr>
          <w:p>
            <w:r>
              <w:rPr>
                <w:sz w:val="15"/>
              </w:rPr>
              <w:t>98.9</w:t>
            </w:r>
          </w:p>
        </w:tc>
      </w:tr>
      <w:tr>
        <w:tc>
          <w:tcPr>
            <w:tcW w:type="dxa" w:w="1473"/>
          </w:tcPr>
          <w:p>
            <w:r>
              <w:rPr>
                <w:sz w:val="15"/>
              </w:rPr>
              <w:t>2017</w:t>
            </w:r>
          </w:p>
        </w:tc>
        <w:tc>
          <w:tcPr>
            <w:tcW w:type="dxa" w:w="1473"/>
          </w:tcPr>
          <w:p>
            <w:r>
              <w:rPr>
                <w:sz w:val="15"/>
              </w:rPr>
              <w:t>35,292</w:t>
            </w:r>
          </w:p>
        </w:tc>
        <w:tc>
          <w:tcPr>
            <w:tcW w:type="dxa" w:w="1473"/>
          </w:tcPr>
          <w:p>
            <w:r>
              <w:rPr>
                <w:sz w:val="15"/>
              </w:rPr>
              <w:t>32,903</w:t>
            </w:r>
          </w:p>
        </w:tc>
        <w:tc>
          <w:tcPr>
            <w:tcW w:type="dxa" w:w="1473"/>
          </w:tcPr>
          <w:p>
            <w:r>
              <w:rPr>
                <w:sz w:val="15"/>
              </w:rPr>
              <w:t>441</w:t>
            </w:r>
          </w:p>
        </w:tc>
        <w:tc>
          <w:tcPr>
            <w:tcW w:type="dxa" w:w="1473"/>
          </w:tcPr>
          <w:p>
            <w:r>
              <w:rPr>
                <w:sz w:val="15"/>
              </w:rPr>
              <w:t>35,733</w:t>
            </w:r>
          </w:p>
        </w:tc>
        <w:tc>
          <w:tcPr>
            <w:tcW w:type="dxa" w:w="1473"/>
          </w:tcPr>
          <w:p>
            <w:r>
              <w:rPr>
                <w:sz w:val="15"/>
              </w:rPr>
              <w:t>98.8</w:t>
            </w:r>
          </w:p>
        </w:tc>
      </w:tr>
      <w:tr>
        <w:tc>
          <w:tcPr>
            <w:tcW w:type="dxa" w:w="1473"/>
          </w:tcPr>
          <w:p>
            <w:r>
              <w:rPr>
                <w:sz w:val="15"/>
              </w:rPr>
              <w:t>2018</w:t>
            </w:r>
          </w:p>
        </w:tc>
        <w:tc>
          <w:tcPr>
            <w:tcW w:type="dxa" w:w="1473"/>
          </w:tcPr>
          <w:p>
            <w:r>
              <w:rPr>
                <w:sz w:val="15"/>
              </w:rPr>
              <w:t>30,473</w:t>
            </w:r>
          </w:p>
        </w:tc>
        <w:tc>
          <w:tcPr>
            <w:tcW w:type="dxa" w:w="1473"/>
          </w:tcPr>
          <w:p>
            <w:r>
              <w:rPr>
                <w:sz w:val="15"/>
              </w:rPr>
              <w:t>21,853</w:t>
            </w:r>
          </w:p>
        </w:tc>
        <w:tc>
          <w:tcPr>
            <w:tcW w:type="dxa" w:w="1473"/>
          </w:tcPr>
          <w:p>
            <w:r>
              <w:rPr>
                <w:sz w:val="15"/>
              </w:rPr>
              <w:t>295</w:t>
            </w:r>
          </w:p>
        </w:tc>
        <w:tc>
          <w:tcPr>
            <w:tcW w:type="dxa" w:w="1473"/>
          </w:tcPr>
          <w:p>
            <w:r>
              <w:rPr>
                <w:sz w:val="15"/>
              </w:rPr>
              <w:t>30,768</w:t>
            </w:r>
          </w:p>
        </w:tc>
        <w:tc>
          <w:tcPr>
            <w:tcW w:type="dxa" w:w="1473"/>
          </w:tcPr>
          <w:p>
            <w:r>
              <w:rPr>
                <w:sz w:val="15"/>
              </w:rPr>
              <w:t>99.0</w:t>
            </w:r>
          </w:p>
        </w:tc>
      </w:tr>
      <w:tr>
        <w:tc>
          <w:tcPr>
            <w:tcW w:type="dxa" w:w="1473"/>
          </w:tcPr>
          <w:p>
            <w:r>
              <w:rPr>
                <w:sz w:val="15"/>
              </w:rPr>
              <w:t>2019</w:t>
            </w:r>
          </w:p>
        </w:tc>
        <w:tc>
          <w:tcPr>
            <w:tcW w:type="dxa" w:w="1473"/>
          </w:tcPr>
          <w:p>
            <w:r>
              <w:rPr>
                <w:sz w:val="15"/>
              </w:rPr>
              <w:t>20,275</w:t>
            </w:r>
          </w:p>
        </w:tc>
        <w:tc>
          <w:tcPr>
            <w:tcW w:type="dxa" w:w="1473"/>
          </w:tcPr>
          <w:p>
            <w:r>
              <w:rPr>
                <w:sz w:val="15"/>
              </w:rPr>
              <w:t>14,354</w:t>
            </w:r>
          </w:p>
        </w:tc>
        <w:tc>
          <w:tcPr>
            <w:tcW w:type="dxa" w:w="1473"/>
          </w:tcPr>
          <w:p>
            <w:r>
              <w:rPr>
                <w:sz w:val="15"/>
              </w:rPr>
              <w:t>228</w:t>
            </w:r>
          </w:p>
        </w:tc>
        <w:tc>
          <w:tcPr>
            <w:tcW w:type="dxa" w:w="1473"/>
          </w:tcPr>
          <w:p>
            <w:r>
              <w:rPr>
                <w:sz w:val="15"/>
              </w:rPr>
              <w:t>20,503</w:t>
            </w:r>
          </w:p>
        </w:tc>
        <w:tc>
          <w:tcPr>
            <w:tcW w:type="dxa" w:w="1473"/>
          </w:tcPr>
          <w:p>
            <w:r>
              <w:rPr>
                <w:sz w:val="15"/>
              </w:rPr>
              <w:t>98.9</w:t>
            </w:r>
          </w:p>
        </w:tc>
      </w:tr>
      <w:tr>
        <w:tc>
          <w:tcPr>
            <w:tcW w:type="dxa" w:w="1473"/>
          </w:tcPr>
          <w:p>
            <w:r>
              <w:rPr>
                <w:sz w:val="15"/>
              </w:rPr>
              <w:t>2020</w:t>
            </w:r>
          </w:p>
        </w:tc>
        <w:tc>
          <w:tcPr>
            <w:tcW w:type="dxa" w:w="1473"/>
          </w:tcPr>
          <w:p>
            <w:r>
              <w:rPr>
                <w:sz w:val="15"/>
              </w:rPr>
              <w:t>15,052</w:t>
            </w:r>
          </w:p>
        </w:tc>
        <w:tc>
          <w:tcPr>
            <w:tcW w:type="dxa" w:w="1473"/>
          </w:tcPr>
          <w:p>
            <w:r>
              <w:rPr>
                <w:sz w:val="15"/>
              </w:rPr>
              <w:t>10,700</w:t>
            </w:r>
          </w:p>
        </w:tc>
        <w:tc>
          <w:tcPr>
            <w:tcW w:type="dxa" w:w="1473"/>
          </w:tcPr>
          <w:p>
            <w:r>
              <w:rPr>
                <w:sz w:val="15"/>
              </w:rPr>
              <w:t>167</w:t>
            </w:r>
          </w:p>
        </w:tc>
        <w:tc>
          <w:tcPr>
            <w:tcW w:type="dxa" w:w="1473"/>
          </w:tcPr>
          <w:p>
            <w:r>
              <w:rPr>
                <w:sz w:val="15"/>
              </w:rPr>
              <w:t>15,219</w:t>
            </w:r>
          </w:p>
        </w:tc>
        <w:tc>
          <w:tcPr>
            <w:tcW w:type="dxa" w:w="1473"/>
          </w:tcPr>
          <w:p>
            <w:r>
              <w:rPr>
                <w:sz w:val="15"/>
              </w:rPr>
              <w:t>98.9</w:t>
            </w:r>
          </w:p>
        </w:tc>
      </w:tr>
      <w:tr>
        <w:tc>
          <w:tcPr>
            <w:tcW w:type="dxa" w:w="1473"/>
          </w:tcPr>
          <w:p>
            <w:r>
              <w:rPr>
                <w:sz w:val="15"/>
              </w:rPr>
              <w:t>2021</w:t>
            </w:r>
          </w:p>
        </w:tc>
        <w:tc>
          <w:tcPr>
            <w:tcW w:type="dxa" w:w="1473"/>
          </w:tcPr>
          <w:p>
            <w:r>
              <w:rPr>
                <w:sz w:val="15"/>
              </w:rPr>
              <w:t>12,712</w:t>
            </w:r>
          </w:p>
        </w:tc>
        <w:tc>
          <w:tcPr>
            <w:tcW w:type="dxa" w:w="1473"/>
          </w:tcPr>
          <w:p>
            <w:r>
              <w:rPr>
                <w:sz w:val="15"/>
              </w:rPr>
              <w:t>9,027</w:t>
            </w:r>
          </w:p>
        </w:tc>
        <w:tc>
          <w:tcPr>
            <w:tcW w:type="dxa" w:w="1473"/>
          </w:tcPr>
          <w:p>
            <w:r>
              <w:rPr>
                <w:sz w:val="15"/>
              </w:rPr>
              <w:t>157</w:t>
            </w:r>
          </w:p>
        </w:tc>
        <w:tc>
          <w:tcPr>
            <w:tcW w:type="dxa" w:w="1473"/>
          </w:tcPr>
          <w:p>
            <w:r>
              <w:rPr>
                <w:sz w:val="15"/>
              </w:rPr>
              <w:t>12,868</w:t>
            </w:r>
          </w:p>
        </w:tc>
        <w:tc>
          <w:tcPr>
            <w:tcW w:type="dxa" w:w="1473"/>
          </w:tcPr>
          <w:p>
            <w:r>
              <w:rPr>
                <w:sz w:val="15"/>
              </w:rPr>
              <w:t>98.8</w:t>
            </w:r>
          </w:p>
        </w:tc>
      </w:tr>
      <w:tr>
        <w:tc>
          <w:tcPr>
            <w:tcW w:type="dxa" w:w="1473"/>
          </w:tcPr>
          <w:p>
            <w:r>
              <w:rPr>
                <w:sz w:val="15"/>
              </w:rPr>
              <w:t>2022</w:t>
            </w:r>
          </w:p>
        </w:tc>
        <w:tc>
          <w:tcPr>
            <w:tcW w:type="dxa" w:w="1473"/>
          </w:tcPr>
          <w:p>
            <w:r>
              <w:rPr>
                <w:sz w:val="15"/>
              </w:rPr>
              <w:t>9,799</w:t>
            </w:r>
          </w:p>
        </w:tc>
        <w:tc>
          <w:tcPr>
            <w:tcW w:type="dxa" w:w="1473"/>
          </w:tcPr>
          <w:p>
            <w:r>
              <w:rPr>
                <w:sz w:val="15"/>
              </w:rPr>
              <w:t>6,793</w:t>
            </w:r>
          </w:p>
        </w:tc>
        <w:tc>
          <w:tcPr>
            <w:tcW w:type="dxa" w:w="1473"/>
          </w:tcPr>
          <w:p>
            <w:r>
              <w:rPr>
                <w:sz w:val="15"/>
              </w:rPr>
              <w:t>147</w:t>
            </w:r>
          </w:p>
        </w:tc>
        <w:tc>
          <w:tcPr>
            <w:tcW w:type="dxa" w:w="1473"/>
          </w:tcPr>
          <w:p>
            <w:r>
              <w:rPr>
                <w:sz w:val="15"/>
              </w:rPr>
              <w:t>9,947</w:t>
            </w:r>
          </w:p>
        </w:tc>
        <w:tc>
          <w:tcPr>
            <w:tcW w:type="dxa" w:w="1473"/>
          </w:tcPr>
          <w:p>
            <w:r>
              <w:rPr>
                <w:sz w:val="15"/>
              </w:rPr>
              <w:t>98.5</w:t>
            </w:r>
          </w:p>
        </w:tc>
      </w:tr>
      <w:tr>
        <w:tc>
          <w:tcPr>
            <w:tcW w:type="dxa" w:w="1473"/>
          </w:tcPr>
          <w:p>
            <w:r>
              <w:rPr>
                <w:sz w:val="15"/>
              </w:rPr>
              <w:t>2023</w:t>
            </w:r>
          </w:p>
        </w:tc>
        <w:tc>
          <w:tcPr>
            <w:tcW w:type="dxa" w:w="1473"/>
          </w:tcPr>
          <w:p>
            <w:r>
              <w:rPr>
                <w:sz w:val="15"/>
              </w:rPr>
              <w:t>10,174</w:t>
            </w:r>
          </w:p>
        </w:tc>
        <w:tc>
          <w:tcPr>
            <w:tcW w:type="dxa" w:w="1473"/>
          </w:tcPr>
          <w:p>
            <w:r>
              <w:rPr>
                <w:sz w:val="15"/>
              </w:rPr>
              <w:t>6,423</w:t>
            </w:r>
          </w:p>
        </w:tc>
        <w:tc>
          <w:tcPr>
            <w:tcW w:type="dxa" w:w="1473"/>
          </w:tcPr>
          <w:p>
            <w:r>
              <w:rPr>
                <w:sz w:val="15"/>
              </w:rPr>
              <w:t>101</w:t>
            </w:r>
          </w:p>
        </w:tc>
        <w:tc>
          <w:tcPr>
            <w:tcW w:type="dxa" w:w="1473"/>
          </w:tcPr>
          <w:p>
            <w:r>
              <w:rPr>
                <w:sz w:val="15"/>
              </w:rPr>
              <w:t>10,275</w:t>
            </w:r>
          </w:p>
        </w:tc>
        <w:tc>
          <w:tcPr>
            <w:tcW w:type="dxa" w:w="1473"/>
          </w:tcPr>
          <w:p>
            <w:r>
              <w:rPr>
                <w:sz w:val="15"/>
              </w:rPr>
              <w:t>99.0</w:t>
            </w:r>
          </w:p>
        </w:tc>
      </w:tr>
    </w:tbl>
    <w:sectPr w:rsidR="00FC693F" w:rsidRPr="0006063C" w:rsidSect="00034616">
      <w:headerReference w:type="default" r:id="rId9"/>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