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Nationwide transition from interferon-based to interferon-free hepatitis C therapy in Japan: a descriptive study of national claims open data</w:t>
      </w:r>
    </w:p>
    <w:p>
      <w:pPr>
        <w:spacing w:after="120"/>
      </w:pPr>
      <w:r>
        <w:rPr>
          <w:b/>
        </w:rPr>
        <w:t xml:space="preserve">Article type: </w:t>
      </w:r>
      <w:r>
        <w:t>Original Article</w:t>
      </w:r>
    </w:p>
    <w:p>
      <w:pPr>
        <w:spacing w:after="120"/>
      </w:pPr>
      <w:r>
        <w:rPr>
          <w:b/>
        </w:rPr>
        <w:t xml:space="preserve">Short title: </w:t>
      </w:r>
      <w:r>
        <w:t>Interferon-to-DAA transition in Japan</w:t>
      </w:r>
    </w:p>
    <w:p>
      <w:pPr>
        <w:spacing w:after="120"/>
      </w:pPr>
      <w:r>
        <w:rPr>
          <w:b/>
        </w:rPr>
        <w:t xml:space="preserve">Authors: </w:t>
      </w:r>
      <w:r>
        <w:t>[To be completed by the authors; given name(s) and family name(s), with affiliation letters as superscripts; first author ORCID iD linked in the submission system]</w:t>
      </w:r>
    </w:p>
    <w:p>
      <w:pPr>
        <w:spacing w:after="120"/>
      </w:pPr>
      <w:r>
        <w:rPr>
          <w:b/>
        </w:rPr>
        <w:t xml:space="preserve">Affiliations: </w:t>
      </w:r>
      <w:r>
        <w:t>[To be completed by the authors; full postal address including country for each affiliation]</w:t>
      </w:r>
    </w:p>
    <w:p>
      <w:pPr>
        <w:spacing w:after="120"/>
      </w:pPr>
      <w:r>
        <w:rPr>
          <w:b/>
        </w:rPr>
        <w:t xml:space="preserve">Corresponding author: </w:t>
      </w:r>
      <w:r>
        <w:t>[Name], [Affiliation], [Full postal address including country], Tel: [telephone], Email: [email]</w:t>
      </w:r>
    </w:p>
    <w:p>
      <w:pPr>
        <w:spacing w:after="120"/>
      </w:pPr>
      <w:r>
        <w:rPr>
          <w:b/>
        </w:rPr>
        <w:t xml:space="preserve">Word count: </w:t>
      </w:r>
      <w:r>
        <w:t>Abstract: 211 words; main text: 2861 words (Introduction to Discussion)</w:t>
      </w:r>
    </w:p>
    <w:p>
      <w:pPr>
        <w:spacing w:after="120"/>
      </w:pPr>
      <w:r>
        <w:rPr>
          <w:b/>
        </w:rPr>
        <w:t xml:space="preserve">Numbers of tables, figures, and supplementary materials: </w:t>
      </w:r>
      <w:r>
        <w:t>3 tables, 3 figures, 1 supplementary file (completed STROBE checklist)</w:t>
      </w:r>
    </w:p>
    <w:p>
      <w:pPr>
        <w:sectPr>
          <w:headerReference w:type="default" r:id="rId9"/>
          <w:pgSz w:w="12240" w:h="15840"/>
          <w:pgMar w:top="1417" w:right="1417" w:bottom="1417" w:left="1417" w:header="720" w:footer="720" w:gutter="0"/>
          <w:cols w:space="720"/>
          <w:docGrid w:linePitch="360"/>
        </w:sectPr>
      </w:pPr>
    </w:p>
    <w:p>
      <w:pPr>
        <w:pStyle w:val="Heading1"/>
      </w:pPr>
      <w:r>
        <w:t>Abstract</w:t>
      </w:r>
    </w:p>
    <w:p>
      <w:r>
        <w:rPr>
          <w:b/>
        </w:rPr>
        <w:t xml:space="preserve">Background: </w:t>
      </w:r>
      <w:r>
        <w:t xml:space="preserve">How quickly a national population leaves an established treatment once a better option is approved and reimbursed is rarely measured from routine data. Using Japan's national claims open data, we described the countrywide transition from interferon-based to interferon-free hepatitis C therapy. </w:t>
      </w:r>
      <w:r>
        <w:rPr>
          <w:b/>
        </w:rPr>
        <w:t xml:space="preserve">Methods: </w:t>
      </w:r>
      <w:r>
        <w:t xml:space="preserve">From the National Database of Health Insurance Claims and Specific Health Checkups of Japan (NDB) Open Data (fiscal years 2014-2023), we extracted national dispensed quantities of peginterferon, first-generation protease inhibitors given with peginterferon, conventional interferon, ribavirin, and nine interferon-free direct-acting antiviral products, respecting the database's publication thresholds. Quantities were converted to estimated treatment courses using documented regimen durations and described with segmented log-linear and exponential trend models. </w:t>
      </w:r>
      <w:r>
        <w:rPr>
          <w:b/>
        </w:rPr>
        <w:t xml:space="preserve">Results: </w:t>
      </w:r>
      <w:r>
        <w:t xml:space="preserve">Peginterferon dispensing fell 99.2% from fiscal year 2014 to 2023 (36% per year, 95% confidence interval 24-47%). Estimated total treatment volume rose from 26,307 to a fiscal year 2015 peak of 92,589 courses, then fell 88.9% to 10,275 by fiscal year 2023; the interferon-free share of estimated courses moved from 50.9% to 97.0% within one fiscal year. </w:t>
      </w:r>
      <w:r>
        <w:rPr>
          <w:b/>
        </w:rPr>
        <w:t xml:space="preserve">Conclusions: </w:t>
      </w:r>
      <w:r>
        <w:t>National hepatitis C treatment switched almost entirely to interferon-free regimens within a year of reimbursement, and total volume surged then declined as the prevalent pool was treated. National open claims data can measure such transitions, provided their publication rules are handled explicitly.</w:t>
      </w:r>
    </w:p>
    <w:p>
      <w:pPr>
        <w:spacing w:after="240"/>
      </w:pPr>
      <w:r>
        <w:rPr>
          <w:b/>
        </w:rPr>
        <w:t xml:space="preserve">Keywords: </w:t>
      </w:r>
      <w:r>
        <w:t>hepatitis C; antiviral agents; interferons; drug utilization; Japan</w:t>
      </w:r>
    </w:p>
    <w:p>
      <w:pPr>
        <w:pStyle w:val="Heading1"/>
      </w:pPr>
      <w:r>
        <w:t>Introduction</w:t>
      </w:r>
    </w:p>
    <w:p>
      <w:r>
        <w:t>National claims databases have become a standard instrument of descriptive epidemiology for following how medical care is actually delivered</w:t>
      </w:r>
      <w:r>
        <w:rPr>
          <w:vertAlign w:val="superscript"/>
        </w:rPr>
        <w:t>1</w:t>
      </w:r>
      <w:r>
        <w:t>, and Japan's National Database of Health Insurance Claims and Specific Health Checkups of Japan (NDB) Open Data release puts part of that instrument in the public domain: annual, nationwide dispensed quantities of prescription drugs by sex- and age-stratified table. Using it for epidemiology means accepting its publication rules as part of the measurement instrument—each table lists only the highest-ranked products of a therapeutic class and masks cells below a fixed threshold—so series built from it are bounded rather than exact, and the rules can be used to derive explicit bounds</w:t>
      </w:r>
      <w:r>
        <w:rPr>
          <w:vertAlign w:val="superscript"/>
        </w:rPr>
        <w:t>1</w:t>
      </w:r>
      <w:r>
        <w:t>. Whether such data can capture a population-level treatment transition is a methodological question worth answering on a transition that actually happened.</w:t>
      </w:r>
    </w:p>
    <w:p>
      <w:r>
        <w:t>Chronic hepatitis C provides such a transition. Until 2014, treatment in Japan was built around interferon, given for 24-48 weeks with ribavirin and, from 2011, with a first-generation non-structural protein 3/4A (NS3/4A) protease inhibitor; it was poorly tolerated and did not cure everyone</w:t>
      </w:r>
      <w:r>
        <w:rPr>
          <w:vertAlign w:val="superscript"/>
        </w:rPr>
        <w:t>2</w:t>
      </w:r>
      <w:r>
        <w:t>. Interferon-free all-oral regimens then arrived in quick succession: daclatasvir plus asunaprevir, approved in July 2014, was the first regimen worldwide to dispense with both interferon and ribavirin</w:t>
      </w:r>
      <w:r>
        <w:rPr>
          <w:vertAlign w:val="superscript"/>
        </w:rPr>
        <w:t>3,4</w:t>
      </w:r>
      <w:r>
        <w:t>, followed by sofosbuvir-based and pangenotypic regimens with cure rates above 90% and treatment durations of 8-12 weeks</w:t>
      </w:r>
      <w:r>
        <w:rPr>
          <w:vertAlign w:val="superscript"/>
        </w:rPr>
        <w:t>5,6</w:t>
      </w:r>
      <w:r>
        <w:t>. Japan combines universal health insurance with publicly funded hepatitis testing and a national subsidy program that caps out-of-pocket payments for antiviral therapy, and each direct-acting antiviral (DAA) was listed on National Health Insurance (NHI) within months of approval and brought into the subsidy program as it was listed</w:t>
      </w:r>
      <w:r>
        <w:rPr>
          <w:vertAlign w:val="superscript"/>
        </w:rPr>
        <w:t>7-9</w:t>
      </w:r>
      <w:r>
        <w:t>.</w:t>
      </w:r>
    </w:p>
    <w:p>
      <w:r>
        <w:t>Once such a therapy is approved and reimbursed, two population-level trajectories are possible. Use of the prior standard may fall steeply—if it was being used for want of an alternative—and total treatment volume may surge as the diagnosed prevalent pool is treated, then decline toward the flow of new diagnoses; alternatively, practical friction in referral pathways, treatment capacity, or clinical caution would slow both. Distinguishing between them matters because the shape of the trajectory determines how much treatment capacity a program must mobilize and how soon its binding constraint shifts from treatment to case-finding. Japan has historically approved new drugs later than the United States or Europe</w:t>
      </w:r>
      <w:r>
        <w:rPr>
          <w:vertAlign w:val="superscript"/>
        </w:rPr>
        <w:t>10</w:t>
      </w:r>
      <w:r>
        <w:t>, which makes the speed of this switch additionally informative. We therefore used NDB Open Data (fiscal years 2014-2023) to describe how national dispensing of interferon-based therapy and of interferon-free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rPr>
          <w:vertAlign w:val="superscript"/>
        </w:rPr>
        <w:t>1</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 Japanese fiscal years run from April to March. In each formulation and care-setting table, NDB Open Data lists only the highest-ranked products of each therapeutic class (top 30 or 100, by edition) and shows cells below 1,000 as a dash, so an absent or dashed product is below the publication threshold, not necessarily unused. Such cells are zero in the primary (lower-bound) series; an upper-bound sensitivity series sets every unpublished cell from a product's first listing onward to the largest quantity it could conceal (the smallest published total of its class in that table when the listing cap was reached, otherwise 999). Of 391 extracted rows, 105 were dashed.</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rPr>
          <w:vertAlign w:val="superscript"/>
        </w:rPr>
        <w:t>5</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rPr>
          <w:vertAlign w:val="superscript"/>
        </w:rPr>
        <w:t>3,9</w:t>
      </w:r>
      <w:r>
        <w:t>. No measure of news or social-media coverage, or of patient or prescriber exposure to it, was available, so media effects were not included as an exposure in this study.</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881"/>
        <w:gridCol w:w="1881"/>
        <w:gridCol w:w="1881"/>
        <w:gridCol w:w="1881"/>
        <w:gridCol w:w="1881"/>
      </w:tblGrid>
      <w:tr>
        <w:tc>
          <w:tcPr>
            <w:tcW w:type="dxa" w:w="1881"/>
          </w:tcPr>
          <w:p>
            <w:r>
              <w:rPr>
                <w:b/>
                <w:sz w:val="15"/>
              </w:rPr>
              <w:t>FY</w:t>
            </w:r>
          </w:p>
        </w:tc>
        <w:tc>
          <w:tcPr>
            <w:tcW w:type="dxa" w:w="1881"/>
          </w:tcPr>
          <w:p>
            <w:r>
              <w:rPr>
                <w:b/>
                <w:sz w:val="15"/>
              </w:rPr>
              <w:t>Date</w:t>
            </w:r>
          </w:p>
        </w:tc>
        <w:tc>
          <w:tcPr>
            <w:tcW w:type="dxa" w:w="1881"/>
          </w:tcPr>
          <w:p>
            <w:r>
              <w:rPr>
                <w:b/>
                <w:sz w:val="15"/>
              </w:rPr>
              <w:t>Drug</w:t>
            </w:r>
          </w:p>
        </w:tc>
        <w:tc>
          <w:tcPr>
            <w:tcW w:type="dxa" w:w="1881"/>
          </w:tcPr>
          <w:p>
            <w:r>
              <w:rPr>
                <w:b/>
                <w:sz w:val="15"/>
              </w:rPr>
              <w:t>Milestone</w:t>
            </w:r>
          </w:p>
        </w:tc>
        <w:tc>
          <w:tcPr>
            <w:tcW w:type="dxa" w:w="1881"/>
          </w:tcPr>
          <w:p>
            <w:r>
              <w:rPr>
                <w:b/>
                <w:sz w:val="15"/>
              </w:rPr>
              <w:t>Source</w:t>
            </w:r>
          </w:p>
        </w:tc>
      </w:tr>
      <w:tr>
        <w:tc>
          <w:tcPr>
            <w:tcW w:type="dxa" w:w="1881"/>
          </w:tcPr>
          <w:p>
            <w:r>
              <w:rPr>
                <w:sz w:val="15"/>
              </w:rPr>
              <w:t>2014</w:t>
            </w:r>
          </w:p>
        </w:tc>
        <w:tc>
          <w:tcPr>
            <w:tcW w:type="dxa" w:w="1881"/>
          </w:tcPr>
          <w:p>
            <w:r>
              <w:rPr>
                <w:sz w:val="15"/>
              </w:rPr>
              <w:t>2014-07-04</w:t>
            </w:r>
          </w:p>
        </w:tc>
        <w:tc>
          <w:tcPr>
            <w:tcW w:type="dxa" w:w="1881"/>
          </w:tcPr>
          <w:p>
            <w:r>
              <w:rPr>
                <w:sz w:val="15"/>
              </w:rPr>
              <w:t>daclatasvir + asunaprevir</w:t>
            </w:r>
          </w:p>
        </w:tc>
        <w:tc>
          <w:tcPr>
            <w:tcW w:type="dxa" w:w="1881"/>
          </w:tcPr>
          <w:p>
            <w:r>
              <w:rPr>
                <w:sz w:val="15"/>
              </w:rPr>
              <w:t>approval</w:t>
            </w:r>
          </w:p>
        </w:tc>
        <w:tc>
          <w:tcPr>
            <w:tcW w:type="dxa" w:w="1881"/>
          </w:tcPr>
          <w:p>
            <w:r>
              <w:rPr>
                <w:sz w:val="15"/>
              </w:rPr>
              <w:t>Approval date 2014-07-04 (asunaprevir and daclatasvir package inserts); Bristol-Myers Squibb K.K. press release, 2014-07-04</w:t>
            </w:r>
          </w:p>
        </w:tc>
      </w:tr>
      <w:tr>
        <w:tc>
          <w:tcPr>
            <w:tcW w:type="dxa" w:w="1881"/>
          </w:tcPr>
          <w:p>
            <w:r>
              <w:rPr>
                <w:sz w:val="15"/>
              </w:rPr>
              <w:t>2014</w:t>
            </w:r>
          </w:p>
        </w:tc>
        <w:tc>
          <w:tcPr>
            <w:tcW w:type="dxa" w:w="1881"/>
          </w:tcPr>
          <w:p>
            <w:r>
              <w:rPr>
                <w:sz w:val="15"/>
              </w:rPr>
              <w:t>2014-09-02</w:t>
            </w:r>
          </w:p>
        </w:tc>
        <w:tc>
          <w:tcPr>
            <w:tcW w:type="dxa" w:w="1881"/>
          </w:tcPr>
          <w:p>
            <w:r>
              <w:rPr>
                <w:sz w:val="15"/>
              </w:rPr>
              <w:t>daclatasvir + asunaprevir</w:t>
            </w:r>
          </w:p>
        </w:tc>
        <w:tc>
          <w:tcPr>
            <w:tcW w:type="dxa" w:w="1881"/>
          </w:tcPr>
          <w:p>
            <w:r>
              <w:rPr>
                <w:sz w:val="15"/>
              </w:rPr>
              <w:t>NHI listing</w:t>
            </w:r>
          </w:p>
        </w:tc>
        <w:tc>
          <w:tcPr>
            <w:tcW w:type="dxa" w:w="1881"/>
          </w:tcPr>
          <w:p>
            <w:r>
              <w:rPr>
                <w:sz w:val="15"/>
              </w:rPr>
              <w:t>NHI drug-price listing date 2014-09-02 (asunaprevir and daclatasvir package inserts); market launch 2014-09-03 (Bristol-Myers Squibb K.K. press release)</w:t>
            </w:r>
          </w:p>
        </w:tc>
      </w:tr>
      <w:tr>
        <w:tc>
          <w:tcPr>
            <w:tcW w:type="dxa" w:w="1881"/>
          </w:tcPr>
          <w:p>
            <w:r>
              <w:rPr>
                <w:sz w:val="15"/>
              </w:rPr>
              <w:t>2015</w:t>
            </w:r>
          </w:p>
        </w:tc>
        <w:tc>
          <w:tcPr>
            <w:tcW w:type="dxa" w:w="1881"/>
          </w:tcPr>
          <w:p>
            <w:r>
              <w:rPr>
                <w:sz w:val="15"/>
              </w:rPr>
              <w:t>2015-03-26</w:t>
            </w:r>
          </w:p>
        </w:tc>
        <w:tc>
          <w:tcPr>
            <w:tcW w:type="dxa" w:w="1881"/>
          </w:tcPr>
          <w:p>
            <w:r>
              <w:rPr>
                <w:sz w:val="15"/>
              </w:rPr>
              <w:t>sofosbuvir</w:t>
            </w:r>
          </w:p>
        </w:tc>
        <w:tc>
          <w:tcPr>
            <w:tcW w:type="dxa" w:w="1881"/>
          </w:tcPr>
          <w:p>
            <w:r>
              <w:rPr>
                <w:sz w:val="15"/>
              </w:rPr>
              <w:t>approval</w:t>
            </w:r>
          </w:p>
        </w:tc>
        <w:tc>
          <w:tcPr>
            <w:tcW w:type="dxa" w:w="1881"/>
          </w:tcPr>
          <w:p>
            <w:r>
              <w:rPr>
                <w:sz w:val="15"/>
              </w:rPr>
              <w:t>Sofosbuvir approval date 2015-03-26 (package insert / interview form)</w:t>
            </w:r>
          </w:p>
        </w:tc>
      </w:tr>
      <w:tr>
        <w:tc>
          <w:tcPr>
            <w:tcW w:type="dxa" w:w="1881"/>
          </w:tcPr>
          <w:p>
            <w:r>
              <w:rPr>
                <w:sz w:val="15"/>
              </w:rPr>
              <w:t>2015</w:t>
            </w:r>
          </w:p>
        </w:tc>
        <w:tc>
          <w:tcPr>
            <w:tcW w:type="dxa" w:w="1881"/>
          </w:tcPr>
          <w:p>
            <w:r>
              <w:rPr>
                <w:sz w:val="15"/>
              </w:rPr>
              <w:t>2015-05-20</w:t>
            </w:r>
          </w:p>
        </w:tc>
        <w:tc>
          <w:tcPr>
            <w:tcW w:type="dxa" w:w="1881"/>
          </w:tcPr>
          <w:p>
            <w:r>
              <w:rPr>
                <w:sz w:val="15"/>
              </w:rPr>
              <w:t>sofosbuvir</w:t>
            </w:r>
          </w:p>
        </w:tc>
        <w:tc>
          <w:tcPr>
            <w:tcW w:type="dxa" w:w="1881"/>
          </w:tcPr>
          <w:p>
            <w:r>
              <w:rPr>
                <w:sz w:val="15"/>
              </w:rPr>
              <w:t>NHI listing</w:t>
            </w:r>
          </w:p>
        </w:tc>
        <w:tc>
          <w:tcPr>
            <w:tcW w:type="dxa" w:w="1881"/>
          </w:tcPr>
          <w:p>
            <w:r>
              <w:rPr>
                <w:sz w:val="15"/>
              </w:rPr>
              <w:t>NHI listing 2015-05-20 (Chuikyo plenary decision 2015-05-13; MHLW Health Insurance Bureau notification Ho-i-hatsu 0519 No. 1)</w:t>
            </w:r>
          </w:p>
        </w:tc>
      </w:tr>
      <w:tr>
        <w:tc>
          <w:tcPr>
            <w:tcW w:type="dxa" w:w="1881"/>
          </w:tcPr>
          <w:p>
            <w:r>
              <w:rPr>
                <w:sz w:val="15"/>
              </w:rPr>
              <w:t>2015</w:t>
            </w:r>
          </w:p>
        </w:tc>
        <w:tc>
          <w:tcPr>
            <w:tcW w:type="dxa" w:w="1881"/>
          </w:tcPr>
          <w:p>
            <w:r>
              <w:rPr>
                <w:sz w:val="15"/>
              </w:rPr>
              <w:t>2015-07-03</w:t>
            </w:r>
          </w:p>
        </w:tc>
        <w:tc>
          <w:tcPr>
            <w:tcW w:type="dxa" w:w="1881"/>
          </w:tcPr>
          <w:p>
            <w:r>
              <w:rPr>
                <w:sz w:val="15"/>
              </w:rPr>
              <w:t>ledipasvir/sofosbuvir</w:t>
            </w:r>
          </w:p>
        </w:tc>
        <w:tc>
          <w:tcPr>
            <w:tcW w:type="dxa" w:w="1881"/>
          </w:tcPr>
          <w:p>
            <w:r>
              <w:rPr>
                <w:sz w:val="15"/>
              </w:rPr>
              <w:t>approval</w:t>
            </w:r>
          </w:p>
        </w:tc>
        <w:tc>
          <w:tcPr>
            <w:tcW w:type="dxa" w:w="1881"/>
          </w:tcPr>
          <w:p>
            <w:r>
              <w:rPr>
                <w:sz w:val="15"/>
              </w:rPr>
              <w:t>MHLW marketing approval 2015-07-03 (package insert; reported by Asahi Shimbun, 2015-07-04)</w:t>
            </w:r>
          </w:p>
        </w:tc>
      </w:tr>
      <w:tr>
        <w:tc>
          <w:tcPr>
            <w:tcW w:type="dxa" w:w="1881"/>
          </w:tcPr>
          <w:p>
            <w:r>
              <w:rPr>
                <w:sz w:val="15"/>
              </w:rPr>
              <w:t>2015</w:t>
            </w:r>
          </w:p>
        </w:tc>
        <w:tc>
          <w:tcPr>
            <w:tcW w:type="dxa" w:w="1881"/>
          </w:tcPr>
          <w:p>
            <w:r>
              <w:rPr>
                <w:sz w:val="15"/>
              </w:rPr>
              <w:t>2015-08-31</w:t>
            </w:r>
          </w:p>
        </w:tc>
        <w:tc>
          <w:tcPr>
            <w:tcW w:type="dxa" w:w="1881"/>
          </w:tcPr>
          <w:p>
            <w:r>
              <w:rPr>
                <w:sz w:val="15"/>
              </w:rPr>
              <w:t>ledipasvir/sofosbuvir</w:t>
            </w:r>
          </w:p>
        </w:tc>
        <w:tc>
          <w:tcPr>
            <w:tcW w:type="dxa" w:w="1881"/>
          </w:tcPr>
          <w:p>
            <w:r>
              <w:rPr>
                <w:sz w:val="15"/>
              </w:rPr>
              <w:t>NHI listing</w:t>
            </w:r>
          </w:p>
        </w:tc>
        <w:tc>
          <w:tcPr>
            <w:tcW w:type="dxa" w:w="1881"/>
          </w:tcPr>
          <w:p>
            <w:r>
              <w:rPr>
                <w:sz w:val="15"/>
              </w:rPr>
              <w:t>Ledipasvir/sofosbuvir NHI drug-price listing date 2015-08-31 (package insert)</w:t>
            </w:r>
          </w:p>
        </w:tc>
      </w:tr>
      <w:tr>
        <w:tc>
          <w:tcPr>
            <w:tcW w:type="dxa" w:w="1881"/>
          </w:tcPr>
          <w:p>
            <w:r>
              <w:rPr>
                <w:sz w:val="15"/>
              </w:rPr>
              <w:t>2017</w:t>
            </w:r>
          </w:p>
        </w:tc>
        <w:tc>
          <w:tcPr>
            <w:tcW w:type="dxa" w:w="1881"/>
          </w:tcPr>
          <w:p>
            <w:r>
              <w:rPr>
                <w:sz w:val="15"/>
              </w:rPr>
              <w:t>2017-09-27</w:t>
            </w:r>
          </w:p>
        </w:tc>
        <w:tc>
          <w:tcPr>
            <w:tcW w:type="dxa" w:w="1881"/>
          </w:tcPr>
          <w:p>
            <w:r>
              <w:rPr>
                <w:sz w:val="15"/>
              </w:rPr>
              <w:t>glecaprevir/pibrentasvir</w:t>
            </w:r>
          </w:p>
        </w:tc>
        <w:tc>
          <w:tcPr>
            <w:tcW w:type="dxa" w:w="1881"/>
          </w:tcPr>
          <w:p>
            <w:r>
              <w:rPr>
                <w:sz w:val="15"/>
              </w:rPr>
              <w:t>approval</w:t>
            </w:r>
          </w:p>
        </w:tc>
        <w:tc>
          <w:tcPr>
            <w:tcW w:type="dxa" w:w="1881"/>
          </w:tcPr>
          <w:p>
            <w:r>
              <w:rPr>
                <w:sz w:val="15"/>
              </w:rPr>
              <w:t>Marketing approval 2017-09-27 (PMDA/MHLW; AbbVie GK)</w:t>
            </w:r>
          </w:p>
        </w:tc>
      </w:tr>
      <w:tr>
        <w:tc>
          <w:tcPr>
            <w:tcW w:type="dxa" w:w="1881"/>
          </w:tcPr>
          <w:p>
            <w:r>
              <w:rPr>
                <w:sz w:val="15"/>
              </w:rPr>
              <w:t>2017</w:t>
            </w:r>
          </w:p>
        </w:tc>
        <w:tc>
          <w:tcPr>
            <w:tcW w:type="dxa" w:w="1881"/>
          </w:tcPr>
          <w:p>
            <w:r>
              <w:rPr>
                <w:sz w:val="15"/>
              </w:rPr>
              <w:t>2017-11-22</w:t>
            </w:r>
          </w:p>
        </w:tc>
        <w:tc>
          <w:tcPr>
            <w:tcW w:type="dxa" w:w="1881"/>
          </w:tcPr>
          <w:p>
            <w:r>
              <w:rPr>
                <w:sz w:val="15"/>
              </w:rPr>
              <w:t>glecaprevir/pibrentasvir</w:t>
            </w:r>
          </w:p>
        </w:tc>
        <w:tc>
          <w:tcPr>
            <w:tcW w:type="dxa" w:w="1881"/>
          </w:tcPr>
          <w:p>
            <w:r>
              <w:rPr>
                <w:sz w:val="15"/>
              </w:rPr>
              <w:t>NHI listing</w:t>
            </w:r>
          </w:p>
        </w:tc>
        <w:tc>
          <w:tcPr>
            <w:tcW w:type="dxa" w:w="1881"/>
          </w:tcPr>
          <w:p>
            <w:r>
              <w:rPr>
                <w:sz w:val="15"/>
              </w:rPr>
              <w:t>Glecaprevir/pibrentasvir NHI drug-price listing date 2017-11-22 (Chuikyo plenary decision 2017-11-15; package insert); market launch 2017-11-27</w:t>
            </w:r>
          </w:p>
        </w:tc>
      </w:tr>
    </w:tbl>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rPr>
          <w:vertAlign w:val="superscript"/>
        </w:rPr>
        <w:t>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rPr>
          <w:vertAlign w:val="superscript"/>
        </w:rPr>
        <w:t>11</w:t>
      </w:r>
      <w:r>
        <w:t>, cross-checked against a residual bootstrap (10,000 resamples)</w:t>
      </w:r>
      <w:r>
        <w:rPr>
          <w:vertAlign w:val="superscript"/>
        </w:rPr>
        <w:t>12</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published units in FY2014 to below the publication threshold in every table from FY2016 onward (at most 187,965 units in FY2023).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shared by older and newer regimens, fell from 10,166,159 units in FY2014 to 3,124 published units in FY2018 and was below the publication threshold in every table from FY2020 onward (at most 62,561 units in FY2023). The FY2018-FY2019 values come only from tables in which ribavirin remained listed, and their year-on-year movement lies within what the unlisted tables could conceal, so it is not interpreted. Fitted over the fiscal years with published dispensing (FY2014-FY2019), its decline was 76% per year (95% CI 60-85%). Because ribavirin was used with peginterferon and with interferon-free sofosbuvir, this rate describes the combined retreat of both regimens and is not evidence about interferon-based therapy alone.</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_ifn_collapse_en.png"/>
                    <pic:cNvPicPr/>
                  </pic:nvPicPr>
                  <pic:blipFill>
                    <a:blip r:embed="rId10"/>
                    <a:stretch>
                      <a:fillRect/>
                    </a:stretch>
                  </pic:blipFill>
                  <pic:spPr>
                    <a:xfrm>
                      <a:off x="0" y="0"/>
                      <a:ext cx="5760720" cy="3456432"/>
                    </a:xfrm>
                    <a:prstGeom prst="rect"/>
                  </pic:spPr>
                </pic:pic>
              </a:graphicData>
            </a:graphic>
          </wp:inline>
        </w:drawing>
      </w:r>
    </w:p>
    <w:p>
      <w:pPr>
        <w:spacing w:before="280"/>
      </w:pPr>
      <w:r>
        <w:rPr>
          <w:b/>
          <w:sz w:val="18"/>
        </w:rP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pPr>
        <w:spacing w:before="280"/>
      </w:pPr>
      <w:r>
        <w:rPr>
          <w:b/>
          <w:sz w:val="18"/>
        </w:rPr>
        <w:t>Table 2. National dispensed quantity by drug group and fiscal year (NDB Open Data). Units differ across groups and are not additive. Values are the published totals and are lower bounds; NP, not published in any table (below the top-ranked listing cap of the class or shown as a dash for values below 1,000), with the maximum quantity the unpublished cells could conceal in parentheses.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Peginterferon (syringes)</w:t>
            </w:r>
          </w:p>
        </w:tc>
        <w:tc>
          <w:tcPr>
            <w:tcW w:type="dxa" w:w="1568"/>
          </w:tcPr>
          <w:p>
            <w:r>
              <w:rPr>
                <w:b/>
                <w:sz w:val="15"/>
              </w:rPr>
              <w:t>First-generation protease inhibitors (with peginterferon)</w:t>
            </w:r>
          </w:p>
        </w:tc>
        <w:tc>
          <w:tcPr>
            <w:tcW w:type="dxa" w:w="1568"/>
          </w:tcPr>
          <w:p>
            <w:r>
              <w:rPr>
                <w:b/>
                <w:sz w:val="15"/>
              </w:rPr>
              <w:t>Conventional interferon (not hepatitis-C-specific)</w:t>
            </w:r>
          </w:p>
        </w:tc>
        <w:tc>
          <w:tcPr>
            <w:tcW w:type="dxa" w:w="1568"/>
          </w:tcPr>
          <w:p>
            <w:r>
              <w:rPr>
                <w:b/>
                <w:sz w:val="15"/>
              </w:rPr>
              <w:t>Ribavirin (both regimens)</w:t>
            </w:r>
          </w:p>
        </w:tc>
        <w:tc>
          <w:tcPr>
            <w:tcW w:type="dxa" w:w="1568"/>
          </w:tcPr>
          <w:p>
            <w:r>
              <w:rPr>
                <w:b/>
                <w:sz w:val="15"/>
              </w:rPr>
              <w:t>Interferon-free DAA total</w:t>
            </w:r>
          </w:p>
        </w:tc>
      </w:tr>
      <w:tr>
        <w:tc>
          <w:tcPr>
            <w:tcW w:type="dxa" w:w="1568"/>
          </w:tcPr>
          <w:p>
            <w:r>
              <w:rPr>
                <w:sz w:val="15"/>
              </w:rPr>
              <w:t>2014</w:t>
            </w:r>
          </w:p>
        </w:tc>
        <w:tc>
          <w:tcPr>
            <w:tcW w:type="dxa" w:w="1568"/>
          </w:tcPr>
          <w:p>
            <w:r>
              <w:rPr>
                <w:sz w:val="15"/>
              </w:rPr>
              <w:t>619,333</w:t>
            </w:r>
          </w:p>
        </w:tc>
        <w:tc>
          <w:tcPr>
            <w:tcW w:type="dxa" w:w="1568"/>
          </w:tcPr>
          <w:p>
            <w:r>
              <w:rPr>
                <w:sz w:val="15"/>
              </w:rPr>
              <w:t>826,748</w:t>
            </w:r>
          </w:p>
        </w:tc>
        <w:tc>
          <w:tcPr>
            <w:tcW w:type="dxa" w:w="1568"/>
          </w:tcPr>
          <w:p>
            <w:r>
              <w:rPr>
                <w:sz w:val="15"/>
              </w:rPr>
              <w:t>326,802</w:t>
            </w:r>
          </w:p>
        </w:tc>
        <w:tc>
          <w:tcPr>
            <w:tcW w:type="dxa" w:w="1568"/>
          </w:tcPr>
          <w:p>
            <w:r>
              <w:rPr>
                <w:sz w:val="15"/>
              </w:rPr>
              <w:t>10,166,159</w:t>
            </w:r>
          </w:p>
        </w:tc>
        <w:tc>
          <w:tcPr>
            <w:tcW w:type="dxa" w:w="1568"/>
          </w:tcPr>
          <w:p>
            <w:r>
              <w:rPr>
                <w:sz w:val="15"/>
              </w:rPr>
              <w:t>6,736,616</w:t>
            </w:r>
          </w:p>
        </w:tc>
      </w:tr>
      <w:tr>
        <w:tc>
          <w:tcPr>
            <w:tcW w:type="dxa" w:w="1568"/>
          </w:tcPr>
          <w:p>
            <w:r>
              <w:rPr>
                <w:sz w:val="15"/>
              </w:rPr>
              <w:t>2015</w:t>
            </w:r>
          </w:p>
        </w:tc>
        <w:tc>
          <w:tcPr>
            <w:tcW w:type="dxa" w:w="1568"/>
          </w:tcPr>
          <w:p>
            <w:r>
              <w:rPr>
                <w:sz w:val="15"/>
              </w:rPr>
              <w:t>131,081</w:t>
            </w:r>
          </w:p>
        </w:tc>
        <w:tc>
          <w:tcPr>
            <w:tcW w:type="dxa" w:w="1568"/>
          </w:tcPr>
          <w:p>
            <w:r>
              <w:rPr>
                <w:sz w:val="15"/>
              </w:rPr>
              <w:t>173,122</w:t>
            </w:r>
          </w:p>
        </w:tc>
        <w:tc>
          <w:tcPr>
            <w:tcW w:type="dxa" w:w="1568"/>
          </w:tcPr>
          <w:p>
            <w:r>
              <w:rPr>
                <w:sz w:val="15"/>
              </w:rPr>
              <w:t>224,563</w:t>
            </w:r>
          </w:p>
        </w:tc>
        <w:tc>
          <w:tcPr>
            <w:tcW w:type="dxa" w:w="1568"/>
          </w:tcPr>
          <w:p>
            <w:r>
              <w:rPr>
                <w:sz w:val="15"/>
              </w:rPr>
              <w:t>8,100,850</w:t>
            </w:r>
          </w:p>
        </w:tc>
        <w:tc>
          <w:tcPr>
            <w:tcW w:type="dxa" w:w="1568"/>
          </w:tcPr>
          <w:p>
            <w:r>
              <w:rPr>
                <w:sz w:val="15"/>
              </w:rPr>
              <w:t>19,374,861</w:t>
            </w:r>
          </w:p>
        </w:tc>
      </w:tr>
      <w:tr>
        <w:tc>
          <w:tcPr>
            <w:tcW w:type="dxa" w:w="1568"/>
          </w:tcPr>
          <w:p>
            <w:r>
              <w:rPr>
                <w:sz w:val="15"/>
              </w:rPr>
              <w:t>2016</w:t>
            </w:r>
          </w:p>
        </w:tc>
        <w:tc>
          <w:tcPr>
            <w:tcW w:type="dxa" w:w="1568"/>
          </w:tcPr>
          <w:p>
            <w:r>
              <w:rPr>
                <w:sz w:val="15"/>
              </w:rPr>
              <w:t>33,688</w:t>
            </w:r>
          </w:p>
        </w:tc>
        <w:tc>
          <w:tcPr>
            <w:tcW w:type="dxa" w:w="1568"/>
          </w:tcPr>
          <w:p>
            <w:r>
              <w:rPr>
                <w:sz w:val="15"/>
              </w:rPr>
              <w:t>NP (≤284,823)</w:t>
            </w:r>
          </w:p>
        </w:tc>
        <w:tc>
          <w:tcPr>
            <w:tcW w:type="dxa" w:w="1568"/>
          </w:tcPr>
          <w:p>
            <w:r>
              <w:rPr>
                <w:sz w:val="15"/>
              </w:rPr>
              <w:t>168,967</w:t>
            </w:r>
          </w:p>
        </w:tc>
        <w:tc>
          <w:tcPr>
            <w:tcW w:type="dxa" w:w="1568"/>
          </w:tcPr>
          <w:p>
            <w:r>
              <w:rPr>
                <w:sz w:val="15"/>
              </w:rPr>
              <w:t>4,849,660</w:t>
            </w:r>
          </w:p>
        </w:tc>
        <w:tc>
          <w:tcPr>
            <w:tcW w:type="dxa" w:w="1568"/>
          </w:tcPr>
          <w:p>
            <w:r>
              <w:rPr>
                <w:sz w:val="15"/>
              </w:rPr>
              <w:t>6,783,118</w:t>
            </w:r>
          </w:p>
        </w:tc>
      </w:tr>
      <w:tr>
        <w:tc>
          <w:tcPr>
            <w:tcW w:type="dxa" w:w="1568"/>
          </w:tcPr>
          <w:p>
            <w:r>
              <w:rPr>
                <w:sz w:val="15"/>
              </w:rPr>
              <w:t>2017</w:t>
            </w:r>
          </w:p>
        </w:tc>
        <w:tc>
          <w:tcPr>
            <w:tcW w:type="dxa" w:w="1568"/>
          </w:tcPr>
          <w:p>
            <w:r>
              <w:rPr>
                <w:sz w:val="15"/>
              </w:rPr>
              <w:t>21,176</w:t>
            </w:r>
          </w:p>
        </w:tc>
        <w:tc>
          <w:tcPr>
            <w:tcW w:type="dxa" w:w="1568"/>
          </w:tcPr>
          <w:p>
            <w:r>
              <w:rPr>
                <w:sz w:val="15"/>
              </w:rPr>
              <w:t>NP (≤444,730)</w:t>
            </w:r>
          </w:p>
        </w:tc>
        <w:tc>
          <w:tcPr>
            <w:tcW w:type="dxa" w:w="1568"/>
          </w:tcPr>
          <w:p>
            <w:r>
              <w:rPr>
                <w:sz w:val="15"/>
              </w:rPr>
              <w:t>130,383</w:t>
            </w:r>
          </w:p>
        </w:tc>
        <w:tc>
          <w:tcPr>
            <w:tcW w:type="dxa" w:w="1568"/>
          </w:tcPr>
          <w:p>
            <w:r>
              <w:rPr>
                <w:sz w:val="15"/>
              </w:rPr>
              <w:t>2,687,890</w:t>
            </w:r>
          </w:p>
        </w:tc>
        <w:tc>
          <w:tcPr>
            <w:tcW w:type="dxa" w:w="1568"/>
          </w:tcPr>
          <w:p>
            <w:r>
              <w:rPr>
                <w:sz w:val="15"/>
              </w:rPr>
              <w:t>5,062,848</w:t>
            </w:r>
          </w:p>
        </w:tc>
      </w:tr>
      <w:tr>
        <w:tc>
          <w:tcPr>
            <w:tcW w:type="dxa" w:w="1568"/>
          </w:tcPr>
          <w:p>
            <w:r>
              <w:rPr>
                <w:sz w:val="15"/>
              </w:rPr>
              <w:t>2018</w:t>
            </w:r>
          </w:p>
        </w:tc>
        <w:tc>
          <w:tcPr>
            <w:tcW w:type="dxa" w:w="1568"/>
          </w:tcPr>
          <w:p>
            <w:r>
              <w:rPr>
                <w:sz w:val="15"/>
              </w:rPr>
              <w:t>14,162</w:t>
            </w:r>
          </w:p>
        </w:tc>
        <w:tc>
          <w:tcPr>
            <w:tcW w:type="dxa" w:w="1568"/>
          </w:tcPr>
          <w:p>
            <w:r>
              <w:rPr>
                <w:sz w:val="15"/>
              </w:rPr>
              <w:t>NP (≤530,758)</w:t>
            </w:r>
          </w:p>
        </w:tc>
        <w:tc>
          <w:tcPr>
            <w:tcW w:type="dxa" w:w="1568"/>
          </w:tcPr>
          <w:p>
            <w:r>
              <w:rPr>
                <w:sz w:val="15"/>
              </w:rPr>
              <w:t>103,120</w:t>
            </w:r>
          </w:p>
        </w:tc>
        <w:tc>
          <w:tcPr>
            <w:tcW w:type="dxa" w:w="1568"/>
          </w:tcPr>
          <w:p>
            <w:r>
              <w:rPr>
                <w:sz w:val="15"/>
              </w:rPr>
              <w:t>3,124</w:t>
            </w:r>
          </w:p>
        </w:tc>
        <w:tc>
          <w:tcPr>
            <w:tcW w:type="dxa" w:w="1568"/>
          </w:tcPr>
          <w:p>
            <w:r>
              <w:rPr>
                <w:sz w:val="15"/>
              </w:rPr>
              <w:t>5,051,120</w:t>
            </w:r>
          </w:p>
        </w:tc>
      </w:tr>
      <w:tr>
        <w:tc>
          <w:tcPr>
            <w:tcW w:type="dxa" w:w="1568"/>
          </w:tcPr>
          <w:p>
            <w:r>
              <w:rPr>
                <w:sz w:val="15"/>
              </w:rPr>
              <w:t>2019</w:t>
            </w:r>
          </w:p>
        </w:tc>
        <w:tc>
          <w:tcPr>
            <w:tcW w:type="dxa" w:w="1568"/>
          </w:tcPr>
          <w:p>
            <w:r>
              <w:rPr>
                <w:sz w:val="15"/>
              </w:rPr>
              <w:t>10,961</w:t>
            </w:r>
          </w:p>
        </w:tc>
        <w:tc>
          <w:tcPr>
            <w:tcW w:type="dxa" w:w="1568"/>
          </w:tcPr>
          <w:p>
            <w:r>
              <w:rPr>
                <w:sz w:val="15"/>
              </w:rPr>
              <w:t>NP (≤506,393)</w:t>
            </w:r>
          </w:p>
        </w:tc>
        <w:tc>
          <w:tcPr>
            <w:tcW w:type="dxa" w:w="1568"/>
          </w:tcPr>
          <w:p>
            <w:r>
              <w:rPr>
                <w:sz w:val="15"/>
              </w:rPr>
              <w:t>75,458</w:t>
            </w:r>
          </w:p>
        </w:tc>
        <w:tc>
          <w:tcPr>
            <w:tcW w:type="dxa" w:w="1568"/>
          </w:tcPr>
          <w:p>
            <w:r>
              <w:rPr>
                <w:sz w:val="15"/>
              </w:rPr>
              <w:t>62,956</w:t>
            </w:r>
          </w:p>
        </w:tc>
        <w:tc>
          <w:tcPr>
            <w:tcW w:type="dxa" w:w="1568"/>
          </w:tcPr>
          <w:p>
            <w:r>
              <w:rPr>
                <w:sz w:val="15"/>
              </w:rPr>
              <w:t>3,165,028</w:t>
            </w:r>
          </w:p>
        </w:tc>
      </w:tr>
      <w:tr>
        <w:tc>
          <w:tcPr>
            <w:tcW w:type="dxa" w:w="1568"/>
          </w:tcPr>
          <w:p>
            <w:r>
              <w:rPr>
                <w:sz w:val="15"/>
              </w:rPr>
              <w:t>2020</w:t>
            </w:r>
          </w:p>
        </w:tc>
        <w:tc>
          <w:tcPr>
            <w:tcW w:type="dxa" w:w="1568"/>
          </w:tcPr>
          <w:p>
            <w:r>
              <w:rPr>
                <w:sz w:val="15"/>
              </w:rPr>
              <w:t>8,013</w:t>
            </w:r>
          </w:p>
        </w:tc>
        <w:tc>
          <w:tcPr>
            <w:tcW w:type="dxa" w:w="1568"/>
          </w:tcPr>
          <w:p>
            <w:r>
              <w:rPr>
                <w:sz w:val="15"/>
              </w:rPr>
              <w:t>NP (≤336,918)</w:t>
            </w:r>
          </w:p>
        </w:tc>
        <w:tc>
          <w:tcPr>
            <w:tcW w:type="dxa" w:w="1568"/>
          </w:tcPr>
          <w:p>
            <w:r>
              <w:rPr>
                <w:sz w:val="15"/>
              </w:rPr>
              <w:t>54,982</w:t>
            </w:r>
          </w:p>
        </w:tc>
        <w:tc>
          <w:tcPr>
            <w:tcW w:type="dxa" w:w="1568"/>
          </w:tcPr>
          <w:p>
            <w:r>
              <w:rPr>
                <w:sz w:val="15"/>
              </w:rPr>
              <w:t>NP (≤112,306)</w:t>
            </w:r>
          </w:p>
        </w:tc>
        <w:tc>
          <w:tcPr>
            <w:tcW w:type="dxa" w:w="1568"/>
          </w:tcPr>
          <w:p>
            <w:r>
              <w:rPr>
                <w:sz w:val="15"/>
              </w:rPr>
              <w:t>2,356,769</w:t>
            </w:r>
          </w:p>
        </w:tc>
      </w:tr>
      <w:tr>
        <w:tc>
          <w:tcPr>
            <w:tcW w:type="dxa" w:w="1568"/>
          </w:tcPr>
          <w:p>
            <w:r>
              <w:rPr>
                <w:sz w:val="15"/>
              </w:rPr>
              <w:t>2021</w:t>
            </w:r>
          </w:p>
        </w:tc>
        <w:tc>
          <w:tcPr>
            <w:tcW w:type="dxa" w:w="1568"/>
          </w:tcPr>
          <w:p>
            <w:r>
              <w:rPr>
                <w:sz w:val="15"/>
              </w:rPr>
              <w:t>7,534</w:t>
            </w:r>
          </w:p>
        </w:tc>
        <w:tc>
          <w:tcPr>
            <w:tcW w:type="dxa" w:w="1568"/>
          </w:tcPr>
          <w:p>
            <w:r>
              <w:rPr>
                <w:sz w:val="15"/>
              </w:rPr>
              <w:t>NP (≤241,864)</w:t>
            </w:r>
          </w:p>
        </w:tc>
        <w:tc>
          <w:tcPr>
            <w:tcW w:type="dxa" w:w="1568"/>
          </w:tcPr>
          <w:p>
            <w:r>
              <w:rPr>
                <w:sz w:val="15"/>
              </w:rPr>
              <w:t>45,147</w:t>
            </w:r>
          </w:p>
        </w:tc>
        <w:tc>
          <w:tcPr>
            <w:tcW w:type="dxa" w:w="1568"/>
          </w:tcPr>
          <w:p>
            <w:r>
              <w:rPr>
                <w:sz w:val="15"/>
              </w:rPr>
              <w:t>NP (≤80,622)</w:t>
            </w:r>
          </w:p>
        </w:tc>
        <w:tc>
          <w:tcPr>
            <w:tcW w:type="dxa" w:w="1568"/>
          </w:tcPr>
          <w:p>
            <w:r>
              <w:rPr>
                <w:sz w:val="15"/>
              </w:rPr>
              <w:t>1,994,076</w:t>
            </w:r>
          </w:p>
        </w:tc>
      </w:tr>
      <w:tr>
        <w:tc>
          <w:tcPr>
            <w:tcW w:type="dxa" w:w="1568"/>
          </w:tcPr>
          <w:p>
            <w:r>
              <w:rPr>
                <w:sz w:val="15"/>
              </w:rPr>
              <w:t>2022</w:t>
            </w:r>
          </w:p>
        </w:tc>
        <w:tc>
          <w:tcPr>
            <w:tcW w:type="dxa" w:w="1568"/>
          </w:tcPr>
          <w:p>
            <w:r>
              <w:rPr>
                <w:sz w:val="15"/>
              </w:rPr>
              <w:t>7,073</w:t>
            </w:r>
          </w:p>
        </w:tc>
        <w:tc>
          <w:tcPr>
            <w:tcW w:type="dxa" w:w="1568"/>
          </w:tcPr>
          <w:p>
            <w:r>
              <w:rPr>
                <w:sz w:val="15"/>
              </w:rPr>
              <w:t>NP (≤233,392)</w:t>
            </w:r>
          </w:p>
        </w:tc>
        <w:tc>
          <w:tcPr>
            <w:tcW w:type="dxa" w:w="1568"/>
          </w:tcPr>
          <w:p>
            <w:r>
              <w:rPr>
                <w:sz w:val="15"/>
              </w:rPr>
              <w:t>35,298</w:t>
            </w:r>
          </w:p>
        </w:tc>
        <w:tc>
          <w:tcPr>
            <w:tcW w:type="dxa" w:w="1568"/>
          </w:tcPr>
          <w:p>
            <w:r>
              <w:rPr>
                <w:sz w:val="15"/>
              </w:rPr>
              <w:t>NP (≤77,798)</w:t>
            </w:r>
          </w:p>
        </w:tc>
        <w:tc>
          <w:tcPr>
            <w:tcW w:type="dxa" w:w="1568"/>
          </w:tcPr>
          <w:p>
            <w:r>
              <w:rPr>
                <w:sz w:val="15"/>
              </w:rPr>
              <w:t>1,545,191</w:t>
            </w:r>
          </w:p>
        </w:tc>
      </w:tr>
      <w:tr>
        <w:tc>
          <w:tcPr>
            <w:tcW w:type="dxa" w:w="1568"/>
          </w:tcPr>
          <w:p>
            <w:r>
              <w:rPr>
                <w:sz w:val="15"/>
              </w:rPr>
              <w:t>2023</w:t>
            </w:r>
          </w:p>
        </w:tc>
        <w:tc>
          <w:tcPr>
            <w:tcW w:type="dxa" w:w="1568"/>
          </w:tcPr>
          <w:p>
            <w:r>
              <w:rPr>
                <w:sz w:val="15"/>
              </w:rPr>
              <w:t>4,836</w:t>
            </w:r>
          </w:p>
        </w:tc>
        <w:tc>
          <w:tcPr>
            <w:tcW w:type="dxa" w:w="1568"/>
          </w:tcPr>
          <w:p>
            <w:r>
              <w:rPr>
                <w:sz w:val="15"/>
              </w:rPr>
              <w:t>NP (≤187,965)</w:t>
            </w:r>
          </w:p>
        </w:tc>
        <w:tc>
          <w:tcPr>
            <w:tcW w:type="dxa" w:w="1568"/>
          </w:tcPr>
          <w:p>
            <w:r>
              <w:rPr>
                <w:sz w:val="15"/>
              </w:rPr>
              <w:t>21,673</w:t>
            </w:r>
          </w:p>
        </w:tc>
        <w:tc>
          <w:tcPr>
            <w:tcW w:type="dxa" w:w="1568"/>
          </w:tcPr>
          <w:p>
            <w:r>
              <w:rPr>
                <w:sz w:val="15"/>
              </w:rPr>
              <w:t>NP (≤62,561)</w:t>
            </w:r>
          </w:p>
        </w:tc>
        <w:tc>
          <w:tcPr>
            <w:tcW w:type="dxa" w:w="1568"/>
          </w:tcPr>
          <w:p>
            <w:r>
              <w:rPr>
                <w:sz w:val="15"/>
              </w:rPr>
              <w:t>1,527,987</w:t>
            </w:r>
          </w:p>
        </w:tc>
      </w:tr>
    </w:tbl>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Because some later low-volume cells are unpublished, the observed decline is an upper limit: in the upper-bound series (unpublished cells at most 34% of the published DAA total in any year), the peak-to-FY2023 fall is 90% and the post-peak decline 21.9% per year (95% CI 17.4-26.1%). The pre-peak segment corresponds to 71% per year but rests on only 2 observations, and its bootstrap interval (-8.6% to 166.8%) includes zero; it is a single year-on-year increment rather than an estimated trend and we do not interpret it as a rate.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daa_wave_en.png"/>
                    <pic:cNvPicPr/>
                  </pic:nvPicPr>
                  <pic:blipFill>
                    <a:blip r:embed="rId11"/>
                    <a:stretch>
                      <a:fillRect/>
                    </a:stretch>
                  </pic:blipFill>
                  <pic:spPr>
                    <a:xfrm>
                      <a:off x="0" y="0"/>
                      <a:ext cx="5760720" cy="3456432"/>
                    </a:xfrm>
                    <a:prstGeom prst="rect"/>
                  </pic:spPr>
                </pic:pic>
              </a:graphicData>
            </a:graphic>
          </wp:inline>
        </w:drawing>
      </w:r>
    </w:p>
    <w:p>
      <w:pPr>
        <w:spacing w:before="280"/>
      </w:pPr>
      <w:r>
        <w:rPr>
          <w:b/>
          <w:sz w:val="18"/>
        </w:rPr>
        <w:t>Figure 2. Interferon-free DAA dispensed quantity by product, fiscal years 2014-2023.</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3_treatment_volume_en.png"/>
                    <pic:cNvPicPr/>
                  </pic:nvPicPr>
                  <pic:blipFill>
                    <a:blip r:embed="rId12"/>
                    <a:stretch>
                      <a:fillRect/>
                    </a:stretch>
                  </pic:blipFill>
                  <pic:spPr>
                    <a:xfrm>
                      <a:off x="0" y="0"/>
                      <a:ext cx="5760720" cy="3456432"/>
                    </a:xfrm>
                    <a:prstGeom prst="rect"/>
                  </pic:spPr>
                </pic:pic>
              </a:graphicData>
            </a:graphic>
          </wp:inline>
        </w:drawing>
      </w:r>
    </w:p>
    <w:p>
      <w:pPr>
        <w:spacing w:before="280"/>
      </w:pPr>
      <w:r>
        <w:rPr>
          <w:b/>
          <w:sz w:val="18"/>
        </w:rPr>
        <w:t>Figure 3. Estimated national hepatitis C antiviral treatment volume (interferon-free DAA courses plus peginterferon courses) and the DAA share of it. Ribavirin is excluded because it accompanied both interferon-based and interferon-free regimens.</w:t>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Interferon-free DAA courses</w:t>
            </w:r>
          </w:p>
        </w:tc>
        <w:tc>
          <w:tcPr>
            <w:tcW w:type="dxa" w:w="1568"/>
          </w:tcPr>
          <w:p>
            <w:r>
              <w:rPr>
                <w:b/>
                <w:sz w:val="15"/>
              </w:rPr>
              <w:t>Interferon-free DAA courses (longer-duration assumption)</w:t>
            </w:r>
          </w:p>
        </w:tc>
        <w:tc>
          <w:tcPr>
            <w:tcW w:type="dxa" w:w="1568"/>
          </w:tcPr>
          <w:p>
            <w:r>
              <w:rPr>
                <w:b/>
                <w:sz w:val="15"/>
              </w:rPr>
              <w:t>Peginterferon courses</w:t>
            </w:r>
          </w:p>
        </w:tc>
        <w:tc>
          <w:tcPr>
            <w:tcW w:type="dxa" w:w="1568"/>
          </w:tcPr>
          <w:p>
            <w:r>
              <w:rPr>
                <w:b/>
                <w:sz w:val="15"/>
              </w:rPr>
              <w:t>Combined treatment volume</w:t>
            </w:r>
          </w:p>
        </w:tc>
        <w:tc>
          <w:tcPr>
            <w:tcW w:type="dxa" w:w="1568"/>
          </w:tcPr>
          <w:p>
            <w:r>
              <w:rPr>
                <w:b/>
                <w:sz w:val="15"/>
              </w:rPr>
              <w:t>DAA share (%)</w:t>
            </w:r>
          </w:p>
        </w:tc>
      </w:tr>
      <w:tr>
        <w:tc>
          <w:tcPr>
            <w:tcW w:type="dxa" w:w="1568"/>
          </w:tcPr>
          <w:p>
            <w:r>
              <w:rPr>
                <w:sz w:val="15"/>
              </w:rPr>
              <w:t>2014</w:t>
            </w:r>
          </w:p>
        </w:tc>
        <w:tc>
          <w:tcPr>
            <w:tcW w:type="dxa" w:w="1568"/>
          </w:tcPr>
          <w:p>
            <w:r>
              <w:rPr>
                <w:sz w:val="15"/>
              </w:rPr>
              <w:t>13,404</w:t>
            </w:r>
          </w:p>
        </w:tc>
        <w:tc>
          <w:tcPr>
            <w:tcW w:type="dxa" w:w="1568"/>
          </w:tcPr>
          <w:p>
            <w:r>
              <w:rPr>
                <w:sz w:val="15"/>
              </w:rPr>
              <w:t>13,404</w:t>
            </w:r>
          </w:p>
        </w:tc>
        <w:tc>
          <w:tcPr>
            <w:tcW w:type="dxa" w:w="1568"/>
          </w:tcPr>
          <w:p>
            <w:r>
              <w:rPr>
                <w:sz w:val="15"/>
              </w:rPr>
              <w:t>12,903</w:t>
            </w:r>
          </w:p>
        </w:tc>
        <w:tc>
          <w:tcPr>
            <w:tcW w:type="dxa" w:w="1568"/>
          </w:tcPr>
          <w:p>
            <w:r>
              <w:rPr>
                <w:sz w:val="15"/>
              </w:rPr>
              <w:t>26,307</w:t>
            </w:r>
          </w:p>
        </w:tc>
        <w:tc>
          <w:tcPr>
            <w:tcW w:type="dxa" w:w="1568"/>
          </w:tcPr>
          <w:p>
            <w:r>
              <w:rPr>
                <w:sz w:val="15"/>
              </w:rPr>
              <w:t>50.9</w:t>
            </w:r>
          </w:p>
        </w:tc>
      </w:tr>
      <w:tr>
        <w:tc>
          <w:tcPr>
            <w:tcW w:type="dxa" w:w="1568"/>
          </w:tcPr>
          <w:p>
            <w:r>
              <w:rPr>
                <w:sz w:val="15"/>
              </w:rPr>
              <w:t>2015</w:t>
            </w:r>
          </w:p>
        </w:tc>
        <w:tc>
          <w:tcPr>
            <w:tcW w:type="dxa" w:w="1568"/>
          </w:tcPr>
          <w:p>
            <w:r>
              <w:rPr>
                <w:sz w:val="15"/>
              </w:rPr>
              <w:t>89,858</w:t>
            </w:r>
          </w:p>
        </w:tc>
        <w:tc>
          <w:tcPr>
            <w:tcW w:type="dxa" w:w="1568"/>
          </w:tcPr>
          <w:p>
            <w:r>
              <w:rPr>
                <w:sz w:val="15"/>
              </w:rPr>
              <w:t>89,858</w:t>
            </w:r>
          </w:p>
        </w:tc>
        <w:tc>
          <w:tcPr>
            <w:tcW w:type="dxa" w:w="1568"/>
          </w:tcPr>
          <w:p>
            <w:r>
              <w:rPr>
                <w:sz w:val="15"/>
              </w:rPr>
              <w:t>2,731</w:t>
            </w:r>
          </w:p>
        </w:tc>
        <w:tc>
          <w:tcPr>
            <w:tcW w:type="dxa" w:w="1568"/>
          </w:tcPr>
          <w:p>
            <w:r>
              <w:rPr>
                <w:sz w:val="15"/>
              </w:rPr>
              <w:t>92,589</w:t>
            </w:r>
          </w:p>
        </w:tc>
        <w:tc>
          <w:tcPr>
            <w:tcW w:type="dxa" w:w="1568"/>
          </w:tcPr>
          <w:p>
            <w:r>
              <w:rPr>
                <w:sz w:val="15"/>
              </w:rPr>
              <w:t>97.0</w:t>
            </w:r>
          </w:p>
        </w:tc>
      </w:tr>
      <w:tr>
        <w:tc>
          <w:tcPr>
            <w:tcW w:type="dxa" w:w="1568"/>
          </w:tcPr>
          <w:p>
            <w:r>
              <w:rPr>
                <w:sz w:val="15"/>
              </w:rPr>
              <w:t>2016</w:t>
            </w:r>
          </w:p>
        </w:tc>
        <w:tc>
          <w:tcPr>
            <w:tcW w:type="dxa" w:w="1568"/>
          </w:tcPr>
          <w:p>
            <w:r>
              <w:rPr>
                <w:sz w:val="15"/>
              </w:rPr>
              <w:t>60,598</w:t>
            </w:r>
          </w:p>
        </w:tc>
        <w:tc>
          <w:tcPr>
            <w:tcW w:type="dxa" w:w="1568"/>
          </w:tcPr>
          <w:p>
            <w:r>
              <w:rPr>
                <w:sz w:val="15"/>
              </w:rPr>
              <w:t>60,598</w:t>
            </w:r>
          </w:p>
        </w:tc>
        <w:tc>
          <w:tcPr>
            <w:tcW w:type="dxa" w:w="1568"/>
          </w:tcPr>
          <w:p>
            <w:r>
              <w:rPr>
                <w:sz w:val="15"/>
              </w:rPr>
              <w:t>702</w:t>
            </w:r>
          </w:p>
        </w:tc>
        <w:tc>
          <w:tcPr>
            <w:tcW w:type="dxa" w:w="1568"/>
          </w:tcPr>
          <w:p>
            <w:r>
              <w:rPr>
                <w:sz w:val="15"/>
              </w:rPr>
              <w:t>61,300</w:t>
            </w:r>
          </w:p>
        </w:tc>
        <w:tc>
          <w:tcPr>
            <w:tcW w:type="dxa" w:w="1568"/>
          </w:tcPr>
          <w:p>
            <w:r>
              <w:rPr>
                <w:sz w:val="15"/>
              </w:rPr>
              <w:t>98.9</w:t>
            </w:r>
          </w:p>
        </w:tc>
      </w:tr>
      <w:tr>
        <w:tc>
          <w:tcPr>
            <w:tcW w:type="dxa" w:w="1568"/>
          </w:tcPr>
          <w:p>
            <w:r>
              <w:rPr>
                <w:sz w:val="15"/>
              </w:rPr>
              <w:t>2017</w:t>
            </w:r>
          </w:p>
        </w:tc>
        <w:tc>
          <w:tcPr>
            <w:tcW w:type="dxa" w:w="1568"/>
          </w:tcPr>
          <w:p>
            <w:r>
              <w:rPr>
                <w:sz w:val="15"/>
              </w:rPr>
              <w:t>35,292</w:t>
            </w:r>
          </w:p>
        </w:tc>
        <w:tc>
          <w:tcPr>
            <w:tcW w:type="dxa" w:w="1568"/>
          </w:tcPr>
          <w:p>
            <w:r>
              <w:rPr>
                <w:sz w:val="15"/>
              </w:rPr>
              <w:t>32,903</w:t>
            </w:r>
          </w:p>
        </w:tc>
        <w:tc>
          <w:tcPr>
            <w:tcW w:type="dxa" w:w="1568"/>
          </w:tcPr>
          <w:p>
            <w:r>
              <w:rPr>
                <w:sz w:val="15"/>
              </w:rPr>
              <w:t>441</w:t>
            </w:r>
          </w:p>
        </w:tc>
        <w:tc>
          <w:tcPr>
            <w:tcW w:type="dxa" w:w="1568"/>
          </w:tcPr>
          <w:p>
            <w:r>
              <w:rPr>
                <w:sz w:val="15"/>
              </w:rPr>
              <w:t>35,733</w:t>
            </w:r>
          </w:p>
        </w:tc>
        <w:tc>
          <w:tcPr>
            <w:tcW w:type="dxa" w:w="1568"/>
          </w:tcPr>
          <w:p>
            <w:r>
              <w:rPr>
                <w:sz w:val="15"/>
              </w:rPr>
              <w:t>98.8</w:t>
            </w:r>
          </w:p>
        </w:tc>
      </w:tr>
      <w:tr>
        <w:tc>
          <w:tcPr>
            <w:tcW w:type="dxa" w:w="1568"/>
          </w:tcPr>
          <w:p>
            <w:r>
              <w:rPr>
                <w:sz w:val="15"/>
              </w:rPr>
              <w:t>2018</w:t>
            </w:r>
          </w:p>
        </w:tc>
        <w:tc>
          <w:tcPr>
            <w:tcW w:type="dxa" w:w="1568"/>
          </w:tcPr>
          <w:p>
            <w:r>
              <w:rPr>
                <w:sz w:val="15"/>
              </w:rPr>
              <w:t>30,473</w:t>
            </w:r>
          </w:p>
        </w:tc>
        <w:tc>
          <w:tcPr>
            <w:tcW w:type="dxa" w:w="1568"/>
          </w:tcPr>
          <w:p>
            <w:r>
              <w:rPr>
                <w:sz w:val="15"/>
              </w:rPr>
              <w:t>21,853</w:t>
            </w:r>
          </w:p>
        </w:tc>
        <w:tc>
          <w:tcPr>
            <w:tcW w:type="dxa" w:w="1568"/>
          </w:tcPr>
          <w:p>
            <w:r>
              <w:rPr>
                <w:sz w:val="15"/>
              </w:rPr>
              <w:t>295</w:t>
            </w:r>
          </w:p>
        </w:tc>
        <w:tc>
          <w:tcPr>
            <w:tcW w:type="dxa" w:w="1568"/>
          </w:tcPr>
          <w:p>
            <w:r>
              <w:rPr>
                <w:sz w:val="15"/>
              </w:rPr>
              <w:t>30,768</w:t>
            </w:r>
          </w:p>
        </w:tc>
        <w:tc>
          <w:tcPr>
            <w:tcW w:type="dxa" w:w="1568"/>
          </w:tcPr>
          <w:p>
            <w:r>
              <w:rPr>
                <w:sz w:val="15"/>
              </w:rPr>
              <w:t>99.0</w:t>
            </w:r>
          </w:p>
        </w:tc>
      </w:tr>
      <w:tr>
        <w:tc>
          <w:tcPr>
            <w:tcW w:type="dxa" w:w="1568"/>
          </w:tcPr>
          <w:p>
            <w:r>
              <w:rPr>
                <w:sz w:val="15"/>
              </w:rPr>
              <w:t>2019</w:t>
            </w:r>
          </w:p>
        </w:tc>
        <w:tc>
          <w:tcPr>
            <w:tcW w:type="dxa" w:w="1568"/>
          </w:tcPr>
          <w:p>
            <w:r>
              <w:rPr>
                <w:sz w:val="15"/>
              </w:rPr>
              <w:t>20,275</w:t>
            </w:r>
          </w:p>
        </w:tc>
        <w:tc>
          <w:tcPr>
            <w:tcW w:type="dxa" w:w="1568"/>
          </w:tcPr>
          <w:p>
            <w:r>
              <w:rPr>
                <w:sz w:val="15"/>
              </w:rPr>
              <w:t>14,354</w:t>
            </w:r>
          </w:p>
        </w:tc>
        <w:tc>
          <w:tcPr>
            <w:tcW w:type="dxa" w:w="1568"/>
          </w:tcPr>
          <w:p>
            <w:r>
              <w:rPr>
                <w:sz w:val="15"/>
              </w:rPr>
              <w:t>228</w:t>
            </w:r>
          </w:p>
        </w:tc>
        <w:tc>
          <w:tcPr>
            <w:tcW w:type="dxa" w:w="1568"/>
          </w:tcPr>
          <w:p>
            <w:r>
              <w:rPr>
                <w:sz w:val="15"/>
              </w:rPr>
              <w:t>20,503</w:t>
            </w:r>
          </w:p>
        </w:tc>
        <w:tc>
          <w:tcPr>
            <w:tcW w:type="dxa" w:w="1568"/>
          </w:tcPr>
          <w:p>
            <w:r>
              <w:rPr>
                <w:sz w:val="15"/>
              </w:rPr>
              <w:t>98.9</w:t>
            </w:r>
          </w:p>
        </w:tc>
      </w:tr>
      <w:tr>
        <w:tc>
          <w:tcPr>
            <w:tcW w:type="dxa" w:w="1568"/>
          </w:tcPr>
          <w:p>
            <w:r>
              <w:rPr>
                <w:sz w:val="15"/>
              </w:rPr>
              <w:t>2020</w:t>
            </w:r>
          </w:p>
        </w:tc>
        <w:tc>
          <w:tcPr>
            <w:tcW w:type="dxa" w:w="1568"/>
          </w:tcPr>
          <w:p>
            <w:r>
              <w:rPr>
                <w:sz w:val="15"/>
              </w:rPr>
              <w:t>15,052</w:t>
            </w:r>
          </w:p>
        </w:tc>
        <w:tc>
          <w:tcPr>
            <w:tcW w:type="dxa" w:w="1568"/>
          </w:tcPr>
          <w:p>
            <w:r>
              <w:rPr>
                <w:sz w:val="15"/>
              </w:rPr>
              <w:t>10,700</w:t>
            </w:r>
          </w:p>
        </w:tc>
        <w:tc>
          <w:tcPr>
            <w:tcW w:type="dxa" w:w="1568"/>
          </w:tcPr>
          <w:p>
            <w:r>
              <w:rPr>
                <w:sz w:val="15"/>
              </w:rPr>
              <w:t>167</w:t>
            </w:r>
          </w:p>
        </w:tc>
        <w:tc>
          <w:tcPr>
            <w:tcW w:type="dxa" w:w="1568"/>
          </w:tcPr>
          <w:p>
            <w:r>
              <w:rPr>
                <w:sz w:val="15"/>
              </w:rPr>
              <w:t>15,219</w:t>
            </w:r>
          </w:p>
        </w:tc>
        <w:tc>
          <w:tcPr>
            <w:tcW w:type="dxa" w:w="1568"/>
          </w:tcPr>
          <w:p>
            <w:r>
              <w:rPr>
                <w:sz w:val="15"/>
              </w:rPr>
              <w:t>98.9</w:t>
            </w:r>
          </w:p>
        </w:tc>
      </w:tr>
      <w:tr>
        <w:tc>
          <w:tcPr>
            <w:tcW w:type="dxa" w:w="1568"/>
          </w:tcPr>
          <w:p>
            <w:r>
              <w:rPr>
                <w:sz w:val="15"/>
              </w:rPr>
              <w:t>2021</w:t>
            </w:r>
          </w:p>
        </w:tc>
        <w:tc>
          <w:tcPr>
            <w:tcW w:type="dxa" w:w="1568"/>
          </w:tcPr>
          <w:p>
            <w:r>
              <w:rPr>
                <w:sz w:val="15"/>
              </w:rPr>
              <w:t>12,712</w:t>
            </w:r>
          </w:p>
        </w:tc>
        <w:tc>
          <w:tcPr>
            <w:tcW w:type="dxa" w:w="1568"/>
          </w:tcPr>
          <w:p>
            <w:r>
              <w:rPr>
                <w:sz w:val="15"/>
              </w:rPr>
              <w:t>9,027</w:t>
            </w:r>
          </w:p>
        </w:tc>
        <w:tc>
          <w:tcPr>
            <w:tcW w:type="dxa" w:w="1568"/>
          </w:tcPr>
          <w:p>
            <w:r>
              <w:rPr>
                <w:sz w:val="15"/>
              </w:rPr>
              <w:t>157</w:t>
            </w:r>
          </w:p>
        </w:tc>
        <w:tc>
          <w:tcPr>
            <w:tcW w:type="dxa" w:w="1568"/>
          </w:tcPr>
          <w:p>
            <w:r>
              <w:rPr>
                <w:sz w:val="15"/>
              </w:rPr>
              <w:t>12,868</w:t>
            </w:r>
          </w:p>
        </w:tc>
        <w:tc>
          <w:tcPr>
            <w:tcW w:type="dxa" w:w="1568"/>
          </w:tcPr>
          <w:p>
            <w:r>
              <w:rPr>
                <w:sz w:val="15"/>
              </w:rPr>
              <w:t>98.8</w:t>
            </w:r>
          </w:p>
        </w:tc>
      </w:tr>
      <w:tr>
        <w:tc>
          <w:tcPr>
            <w:tcW w:type="dxa" w:w="1568"/>
          </w:tcPr>
          <w:p>
            <w:r>
              <w:rPr>
                <w:sz w:val="15"/>
              </w:rPr>
              <w:t>2022</w:t>
            </w:r>
          </w:p>
        </w:tc>
        <w:tc>
          <w:tcPr>
            <w:tcW w:type="dxa" w:w="1568"/>
          </w:tcPr>
          <w:p>
            <w:r>
              <w:rPr>
                <w:sz w:val="15"/>
              </w:rPr>
              <w:t>9,799</w:t>
            </w:r>
          </w:p>
        </w:tc>
        <w:tc>
          <w:tcPr>
            <w:tcW w:type="dxa" w:w="1568"/>
          </w:tcPr>
          <w:p>
            <w:r>
              <w:rPr>
                <w:sz w:val="15"/>
              </w:rPr>
              <w:t>6,793</w:t>
            </w:r>
          </w:p>
        </w:tc>
        <w:tc>
          <w:tcPr>
            <w:tcW w:type="dxa" w:w="1568"/>
          </w:tcPr>
          <w:p>
            <w:r>
              <w:rPr>
                <w:sz w:val="15"/>
              </w:rPr>
              <w:t>147</w:t>
            </w:r>
          </w:p>
        </w:tc>
        <w:tc>
          <w:tcPr>
            <w:tcW w:type="dxa" w:w="1568"/>
          </w:tcPr>
          <w:p>
            <w:r>
              <w:rPr>
                <w:sz w:val="15"/>
              </w:rPr>
              <w:t>9,947</w:t>
            </w:r>
          </w:p>
        </w:tc>
        <w:tc>
          <w:tcPr>
            <w:tcW w:type="dxa" w:w="1568"/>
          </w:tcPr>
          <w:p>
            <w:r>
              <w:rPr>
                <w:sz w:val="15"/>
              </w:rPr>
              <w:t>98.5</w:t>
            </w:r>
          </w:p>
        </w:tc>
      </w:tr>
      <w:tr>
        <w:tc>
          <w:tcPr>
            <w:tcW w:type="dxa" w:w="1568"/>
          </w:tcPr>
          <w:p>
            <w:r>
              <w:rPr>
                <w:sz w:val="15"/>
              </w:rPr>
              <w:t>2023</w:t>
            </w:r>
          </w:p>
        </w:tc>
        <w:tc>
          <w:tcPr>
            <w:tcW w:type="dxa" w:w="1568"/>
          </w:tcPr>
          <w:p>
            <w:r>
              <w:rPr>
                <w:sz w:val="15"/>
              </w:rPr>
              <w:t>10,174</w:t>
            </w:r>
          </w:p>
        </w:tc>
        <w:tc>
          <w:tcPr>
            <w:tcW w:type="dxa" w:w="1568"/>
          </w:tcPr>
          <w:p>
            <w:r>
              <w:rPr>
                <w:sz w:val="15"/>
              </w:rPr>
              <w:t>6,423</w:t>
            </w:r>
          </w:p>
        </w:tc>
        <w:tc>
          <w:tcPr>
            <w:tcW w:type="dxa" w:w="1568"/>
          </w:tcPr>
          <w:p>
            <w:r>
              <w:rPr>
                <w:sz w:val="15"/>
              </w:rPr>
              <w:t>101</w:t>
            </w:r>
          </w:p>
        </w:tc>
        <w:tc>
          <w:tcPr>
            <w:tcW w:type="dxa" w:w="1568"/>
          </w:tcPr>
          <w:p>
            <w:r>
              <w:rPr>
                <w:sz w:val="15"/>
              </w:rPr>
              <w:t>10,275</w:t>
            </w:r>
          </w:p>
        </w:tc>
        <w:tc>
          <w:tcPr>
            <w:tcW w:type="dxa" w:w="1568"/>
          </w:tcPr>
          <w:p>
            <w:r>
              <w:rPr>
                <w:sz w:val="15"/>
              </w:rPr>
              <w:t>99.0</w:t>
            </w:r>
          </w:p>
        </w:tc>
      </w:tr>
    </w:tbl>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had fallen to negligible levels or below the publication threshold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rPr>
          <w:vertAlign w:val="superscript"/>
        </w:rPr>
        <w:t>13</w:t>
      </w:r>
      <w:r>
        <w:t>. A national claims study covering more than 98% of Japanese healthcare reported 357,877 patients treated with DAAs between fiscal years 2013 and 2022, a 40% fall in the prevalence of care for chronic hepatitis C, and hepatitis C healthcare costs peaking in 2015</w:t>
      </w:r>
      <w:r>
        <w:rPr>
          <w:vertAlign w:val="superscript"/>
        </w:rPr>
        <w:t>14</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rPr>
          <w:vertAlign w:val="superscript"/>
        </w:rPr>
        <w:t>2,4-6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rPr>
          <w:vertAlign w:val="superscript"/>
        </w:rPr>
        <w:t>8,15</w:t>
      </w:r>
      <w:r>
        <w:t>. Comparison with settings that lack such a scheme is instructive: among insured United States adults diagnosed in 2019-2020, only 23-35% started DAA treatment within a year, varying by payer</w:t>
      </w:r>
      <w:r>
        <w:rPr>
          <w:vertAlign w:val="superscript"/>
        </w:rPr>
        <w:t>16</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r>
        <w:t>The episode also illustrates what national open claims data can and cannot measure. The NDB Open Data release is complete in coverage—the underlying database captures essentially all insurance claims in Japan—but deliberately partial in publication: each table lists only the highest-ranked products of a class and shows small cells as a dash</w:t>
      </w:r>
      <w:r>
        <w:rPr>
          <w:vertAlign w:val="superscript"/>
        </w:rPr>
        <w:t>1</w:t>
      </w:r>
      <w:r>
        <w:t>. The dominant features of this transition (the collapse of interferon-based therapy, the surge in DAA dispensing, and the subsequent decline) involve quantities far above the threshold, so they survive those rules intact; the rules mattered only at the margins, where we treated unpublished cells as zero in the primary series and bounded them in the upper-bound sensitivity series, which moved the post-peak decline by less than 3.3 percentage points per year and changed no qualitative conclusion. The same construction—extracting complete products, flagging masked cells, and publishing bounds rather than point values—is applicable to any drug class tracked through the same data release, and makes the analysis reproducible end to end from public sources. The limits are equally instructive: dispensed quantity is not a patient count, annual resolution hides within-year timing around a listing date, and without individual-level linkage the data cannot show who started treatment, who deferred it, or why.</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Because NDB Open Data omits lower-ranked products and masks small cells, low-volume products and the tail of a declining drug are underestimated, apparent disappearance means only that a drug fell below the publication threshold, and the later protease-inhibitor and ribavirin values are lower bounds. The upper-bound analysis is a bound derived from the publication rules, not an observed total; within it these omissions change the post-peak decline of combined treatment volume from 24.7% to 21.4% per year and the interferon-free share by less than 0.1 percentage points, and alter neither the peak year nor the direction of any trend, because the large early quantities that carry the main findings lie far above the threshold.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r>
        <w:t>In conclusion, national dispensing data show that hepatitis C treatment in Japan moved almost entirely from interferon-based to interferon-free regimens within one fiscal year of the first interferon-free listing, and that total estimated treatment volume surged then declined as the diagnosed prevalent pool was treated. For health systems and for researchers using the same open data, the episode demonstrates both what prompt listing plus subsidy can achieve and how much of that trajectory can be measured despite the NDB publication thresholds. Whether the same speed is attainable for other therapies, or in systems without comparable coverage and subsidy, cannot be inferred from these data.</w:t>
      </w:r>
    </w:p>
    <w:p>
      <w:pPr>
        <w:pStyle w:val="Heading1"/>
      </w:pPr>
      <w:r>
        <w:t>Acknowledgments</w:t>
      </w:r>
    </w:p>
    <w:p>
      <w:r>
        <w:t>Funding: This research did not receive any specific grant from funding agencies in the public, commercial, or not-for-profit sectors. During the preparation of this manuscript the authors used ChatGPT/GPT-4 for language editing and formatting assistance; after using this tool, the authors reviewed and edited the content and take full responsibility for the final manuscript.</w:t>
      </w:r>
    </w:p>
    <w:p>
      <w:r>
        <w:rPr>
          <w:b/>
        </w:rPr>
        <w:t xml:space="preserve">Ethics approval. </w:t>
      </w:r>
      <w:r>
        <w:t>This study used only publicly available, aggregated national open data and involved no individual-level or identifiable information; ethics-committee approval was therefore not required.</w:t>
      </w:r>
    </w:p>
    <w:p>
      <w:r>
        <w:rPr>
          <w:b/>
        </w:rPr>
        <w:t xml:space="preserve">Conflicts of interest. </w:t>
      </w:r>
      <w:r>
        <w:t>The authors declare they have no conflict of interest with respect to this research study and paper.</w:t>
      </w:r>
    </w:p>
    <w:p>
      <w:pPr>
        <w:pStyle w:val="Heading1"/>
      </w:pPr>
      <w:r>
        <w:t>Data Availability</w:t>
      </w:r>
    </w:p>
    <w:p>
      <w:r>
        <w:t>Data derived from a source in the public domain: the raw NDB Open Data workbooks are published by the Ministry of Health, Labour and Welfare and can be re-downloaded with the provided script (scripts/download_ndb.py). All analysis code, derived datasets, and the figure and manuscript generators are openly available at https://github.com/bougtoir/ndb-dea-drug-lag, so the full pipeline (download, build, analyze, figures, manuscript) reproduces every reported number, figure, and table from the public data.</w:t>
      </w:r>
    </w:p>
    <w:p>
      <w:pPr>
        <w:sectPr>
          <w:pgSz w:w="12240" w:h="15840"/>
          <w:pgMar w:top="1417" w:right="1417" w:bottom="1417" w:left="1417" w:header="720" w:footer="720" w:gutter="0"/>
          <w:cols w:space="720"/>
          <w:docGrid w:linePitch="360"/>
          <w:lnNumType w:countBy="1" w:start="1" w:restart="continuous"/>
        </w:sectPr>
      </w:pPr>
    </w:p>
    <w:p>
      <w:pPr>
        <w:pStyle w:val="Heading1"/>
      </w:pPr>
      <w:r>
        <w:t>References</w:t>
      </w:r>
    </w:p>
    <w:p>
      <w:pPr>
        <w:ind w:left="432" w:hanging="432"/>
      </w:pPr>
      <w:r>
        <w:t>1. Ministry of Health, Labour and Welfare (Japan). NDB Open Data (1st-10th editions). https://www.mhlw.go.jp/stf/seisakunitsuite/bunya/0000177182.html. Accessed September 21, 2026.</w:t>
      </w:r>
    </w:p>
    <w:p>
      <w:pPr>
        <w:ind w:left="432" w:hanging="432"/>
      </w:pPr>
      <w:r>
        <w:t>2. Drafting Committee for Hepatitis Management Guidelines, the Japan Society of Hepatology. Japan Society of Hepatology guidelines for the management of hepatitis C virus infection: 2019 update. Hepatol Res. 2020;50(7):791-816. doi:10.1111/hepr.13503</w:t>
      </w:r>
    </w:p>
    <w:p>
      <w:pPr>
        <w:ind w:left="432" w:hanging="432"/>
      </w:pPr>
      <w:r>
        <w:t>3.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September 21, 2026.</w:t>
      </w:r>
    </w:p>
    <w:p>
      <w:pPr>
        <w:ind w:left="432" w:hanging="432"/>
      </w:pPr>
      <w:r>
        <w:t>4. Kumada H, Suzuki Y, Ikeda K, et al. Daclatasvir plus asunaprevir for chronic HCV genotype 1b infection. Hepatology. 2014;59(6):2083-2091. doi:10.1002/hep.27113</w:t>
      </w:r>
    </w:p>
    <w:p>
      <w:pPr>
        <w:ind w:left="432" w:hanging="432"/>
      </w:pPr>
      <w:r>
        <w:t>5. Omata M, Nishiguchi S, Ueno Y, et al. Sofosbuvir plus ribavirin in Japanese patients with chronic genotype 2 HCV infection: an open-label, phase 3 trial. J Viral Hepat. 2014;21(11):762-768. doi:10.1111/jvh.12312</w:t>
      </w:r>
    </w:p>
    <w:p>
      <w:pPr>
        <w:ind w:left="432" w:hanging="432"/>
      </w:pPr>
      <w:r>
        <w:t>6. Mizokami M, Yokosuka O, Takehara T, et al. Ledipasvir and sofosbuvir fixed-dose combination with and without ribavirin for 12 weeks in treatment-naive and previously treated Japanese patients with genotype 1 hepatitis C: an open-label, randomised, phase 3 trial. Lancet Infect Dis. 2015;15(6):645-653. doi:10.1016/S1473-3099(15)70099-X</w:t>
      </w:r>
    </w:p>
    <w:p>
      <w:pPr>
        <w:ind w:left="432" w:hanging="432"/>
      </w:pPr>
      <w:r>
        <w:t>7. Tanaka J, Akita T, Ko K, Miura Y, Satake M; Epidemiological Research Group on Viral Hepatitis and its Long-term Course, Ministry of Health, Labour and Welfare of Japan. Countermeasures against viral hepatitis B and C in Japan: an epidemiological point of view. Hepatol Res. 2019;49(9):990-1002. doi:10.1111/hepr.13417</w:t>
      </w:r>
    </w:p>
    <w:p>
      <w:pPr>
        <w:ind w:left="432" w:hanging="432"/>
      </w:pPr>
      <w:r>
        <w:t>8.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September 21, 2026.</w:t>
      </w:r>
    </w:p>
    <w:p>
      <w:pPr>
        <w:ind w:left="432" w:hanging="432"/>
      </w:pPr>
      <w:r>
        <w:t>9. Ministry of Health, Labour and Welfare (Japan), Central Social Insurance Medical Council (Chuikyo). Records of National Health Insurance drug-price listings of direct-acting antivirals for hepatitis C, 2014-2017 (Chuikyo plenary minutes and Health Insurance Bureau notifications; the document cited for each date is listed in the study repository, https://github.com/bougtoir/ndb-dea-drug-lag). https://www.mhlw.go.jp/stf/shingi/shingi-chuo_128154.html. Accessed September 21, 2026.</w:t>
      </w:r>
    </w:p>
    <w:p>
      <w:pPr>
        <w:ind w:left="432" w:hanging="432"/>
      </w:pPr>
      <w:r>
        <w:t>10. Tanaka M, Idei M, Sakaguchi H, et al. Evolving landscape of new drug approval in Japan and lags from international birth dates: retrospective regulatory analysis. Clin Pharmacol Ther. 2021;109(5):1265-1273. doi:10.1002/cpt.2080</w:t>
      </w:r>
    </w:p>
    <w:p>
      <w:pPr>
        <w:ind w:left="432" w:hanging="432"/>
      </w:pPr>
      <w:r>
        <w:t>11. Newey WK, West KD. A simple, positive semi-definite, heteroskedasticity and autocorrelation consistent covariance matrix. Econometrica. 1987;55(3):703-708. doi:10.2307/1913610</w:t>
      </w:r>
    </w:p>
    <w:p>
      <w:pPr>
        <w:ind w:left="432" w:hanging="432"/>
      </w:pPr>
      <w:r>
        <w:t>12. Efron B, Tibshirani RJ. An Introduction to the Bootstrap. New York: Chapman &amp; Hall; 1993.</w:t>
      </w:r>
    </w:p>
    <w:p>
      <w:pPr>
        <w:ind w:left="432" w:hanging="432"/>
      </w:pPr>
      <w:r>
        <w:t>13. Tanaka J, Akita T, Ohisa M, et al. Trends in the total numbers of HBV and HCV carriers in Japan from 2000 to 2011. J Viral Hepat. 2018;25(4):363-372. doi:10.1111/jvh.12828</w:t>
      </w:r>
    </w:p>
    <w:p>
      <w:pPr>
        <w:ind w:left="432" w:hanging="432"/>
      </w:pPr>
      <w:r>
        <w:t>14. Yamashita S, Kanda N, Hashimoto H, et al. Trends in the healthcare burden of hepatitis C after the introduction of direct-acting antivirals in Japan, 2013-2022: a national claims database study in Japan. Int J Infect Dis. 2025;160:108043. doi:10.1016/j.ijid.2025.108043</w:t>
      </w:r>
    </w:p>
    <w:p>
      <w:pPr>
        <w:ind w:left="432" w:hanging="432"/>
      </w:pPr>
      <w:r>
        <w:t>15. Setoyama H, Tanaka Y, Kanto T. Seamless support from screening to anti-HCV treatment and HCC/decompensated cirrhosis: subsidy programs for HCV elimination. Glob Health Med. 2021;3(5):335-342. doi:10.35772/ghm.2021.01079</w:t>
      </w:r>
    </w:p>
    <w:p>
      <w:pPr>
        <w:ind w:left="432" w:hanging="432"/>
      </w:pPr>
      <w:r>
        <w:t>16. Thompson WW, Symum H, Sandul A, et al. Vital signs: hepatitis C treatment among insured adults - United States, 2019-2020. MMWR Morb Mortal Wkly Rep. 2022;71(32):1011-1017. doi:10.15585/mmwr.mm7132e1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