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表</w:t>
      </w:r>
    </w:p>
    <w:p>
      <w:pPr>
        <w:spacing w:before="280"/>
      </w:pPr>
      <w:r>
        <w:rPr>
          <w:b/>
          <w:sz w:val="18"/>
        </w:rPr>
        <w:t>表1．日本におけるIFNフリー直接作用型抗ウイルス薬の承認・薬価基準収載イベント。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日付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薬剤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イベント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出所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2014-07-04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承認年月日 2014-07-04 (スンベプラカプセル/ダクルインザ錠 添付文書); Bristol-Myers Squibb K.K. press release 2014-07-04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2014-09-02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ダクルインザ＋スンベプラ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薬価基準収載日 2014-09-02 (添付文書); 発売 2014-09-03 (BMS press release 2014-09-03)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2015-03-26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ソバルディ錠 承認年月日 2015-03-26 (添付文書 / インタビューフォーム)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2015-05-20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ソバルディ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 2015-05-20 (中医協 2015-05-13 総会決定; 厚労省保険局医療課通知 保医発0519第1号)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2015-07-03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MHLW 製造販売承認 2015-07-03 (朝日新聞 2015-07-04 報道; 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2015-08-31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ハーボニー配合錠 薬価収載日 2015-08-31 (添付文書)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2017-09-27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承認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製造販売承認 2017-09-27 (PMDA/MHLW; AbbVie GK)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2017-11-22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薬価収載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マヴィレット配合錠 薬価収載日 2017-11-22 (中医協 2017-11-15 総会決定; 添付文書); 発売 2017-11-27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表2．薬剤群別・年度別の全国処方数量（NDBオープンデータ）。群間で単位が異なり合算できない。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ペグインターフェロン（本）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第一世代プロテアーゼ阻害薬（ペグIFN併用）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従来型インターフェロン（C型肝炎特異的でない）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リバビリン（旧・新両レジメン）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IFNフリーDAA合計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619,333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826,748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326,802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10,166,159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6,736,616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131,081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173,122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224,563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8,100,850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19,374,861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33,688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(≤284,823)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168,967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4,849,660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6,783,118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21,176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(≤444,730)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130,383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2,687,890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5,062,848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14,162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(≤530,758)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103,120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3,124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5,051,120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10,961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(≤506,393)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75,458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62,956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3,165,028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8,013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(≤336,918)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54,982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(≤112,306)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2,356,769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7,534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(≤241,864)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45,147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(≤80,622)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1,994,076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7,073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(≤233,392)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(≤77,798)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1,545,191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4,836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(≤187,965)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21,673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(≤62,561)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1,527,987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4,240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NP (≤8,991)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16,816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28,508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1,164,534</w:t>
            </w:r>
          </w:p>
        </w:tc>
      </w:tr>
    </w:tbl>
    <w:p>
      <w:r>
        <w:br w:type="page"/>
      </w:r>
    </w:p>
    <w:p>
      <w:pPr>
        <w:spacing w:before="280"/>
      </w:pPr>
      <w:r>
        <w:rPr>
          <w:b/>
          <w:sz w:val="18"/>
        </w:rPr>
        <w:t>表3．年度別の推定治療コース数（文献記載の投与期間に基づく推定値、レジメンごとに代表成分1つを計上。実測の患者数ではない）。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5"/>
              </w:rPr>
              <w:t>年度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IFNフリーDAAコース数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IFNフリーDAAコース数（長期投与仮定）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ペグインターフェロンコース数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合算治療量</w:t>
            </w:r>
          </w:p>
        </w:tc>
        <w:tc>
          <w:tcPr>
            <w:tcW w:type="dxa" w:w="1440"/>
          </w:tcPr>
          <w:p>
            <w:r>
              <w:rPr>
                <w:b/>
                <w:sz w:val="15"/>
              </w:rPr>
              <w:t>DAAの割合（%）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13,404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26,307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89,858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2,731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92,589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97.0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60,598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702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61,300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35,292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32,903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441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35,733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30,473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21,853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295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30,768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14,354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228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20,503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15,052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10,700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167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15,219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12,712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9,027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157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12,868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98.8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9,799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6,793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9,947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98.5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10,174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6,423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10,275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99.0</w:t>
            </w:r>
          </w:p>
        </w:tc>
      </w:tr>
      <w:tr>
        <w:tc>
          <w:tcPr>
            <w:tcW w:type="dxa" w:w="1440"/>
          </w:tcPr>
          <w:p>
            <w:r>
              <w:rPr>
                <w:sz w:val="15"/>
              </w:rPr>
              <w:t>2024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7,862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5,026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88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7,950</w:t>
            </w:r>
          </w:p>
        </w:tc>
        <w:tc>
          <w:tcPr>
            <w:tcW w:type="dxa" w:w="1440"/>
          </w:tcPr>
          <w:p>
            <w:r>
              <w:rPr>
                <w:sz w:val="15"/>
              </w:rPr>
              <w:t>98.9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