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[Author name]</w:t>
      </w:r>
    </w:p>
    <w:p>
      <w:r>
        <w:t>[Affiliation]</w:t>
      </w:r>
    </w:p>
    <w:p>
      <w:r>
        <w:t>[Address]</w:t>
      </w:r>
    </w:p>
    <w:p>
      <w:r>
        <w:t>[Email]</w:t>
      </w:r>
    </w:p>
    <w:p/>
    <w:p>
      <w:r>
        <w:t>[Date]</w:t>
      </w:r>
    </w:p>
    <w:p/>
    <w:p>
      <w:r>
        <w:t>The Editor-in-Chief</w:t>
      </w:r>
    </w:p>
    <w:p>
      <w:r>
        <w:t>Emerging Infectious Diseases</w:t>
      </w:r>
    </w:p>
    <w:p/>
    <w:p>
      <w:r>
        <w:t>Dear Editor,</w:t>
      </w:r>
    </w:p>
    <w:p>
      <w:r>
        <w:t>Please consider our manuscript, “Rapid Population-Level Displacement of Interferon-Based Hepatitis C Therapy by Interferon-Free Direct-Acting Antivirals, Japan,” for publication as a Research article in Emerging Infectious Diseases.</w:t>
      </w:r>
    </w:p>
    <w:p>
      <w:r>
        <w:t>The manuscript contains an abstract of 146 words, a main text of 2228 words, and 15 references. All authors have approved the submission and declare no conflicts of interest.</w:t>
      </w:r>
    </w:p>
    <w:p>
      <w:r>
        <w:t>Approval and reimbursement of a new therapy are recorded to the day, but how quickly an entire population actually moves away from the therapy it replaces is rarely measured. Hepatitis C offers an unusually clear setting: interferon-free direct-acting antivirals (DAAs) were approved and covered by National Health Insurance in Japan in 2014-2015 and took over from an interferon-based standard that had been in place for years.</w:t>
      </w:r>
    </w:p>
    <w:p>
      <w:r>
        <w:t>Using Japan’s NDB Open Data (fiscal years 2014–2023), we tracked national dispensed quantities of interferon-based therapy and of interferon-free DAAs against dated approval and reimbursement milestones, and converted quantities to estimated treatment courses so that a weekly injection and an 8-week tablet regimen could be compared on one scale. Peginterferon dispensing fell 99.2% and the protease inhibitors given with it disappeared from FY2016, while interferon-free regimens reached 97.0% of estimated treatment courses within one fiscal year of the first interferon-free listing. Estimated total treatment volume peaked in FY2015 and then fell 88.9%, the shape expected when a curative therapy works through a prevalent population. We report these as descriptive national trends with uncertainty intervals, discuss the subsidy program and other plausible contributors, and state explicitly that dispensed quantity is not a patient count and that no measure of media coverage or of individual treatment decisions entered the analysis.</w:t>
      </w:r>
    </w:p>
    <w:p>
      <w:r>
        <w:t>We believe the work is suited to Emerging Infectious Diseases. Japan's rapid, nationwide displacement of interferon-based by interferon-free hepatitis C therapy illustrates how quickly a population can move to a curative regimen once it is approved, reimbursed, and affordable, a pattern relevant to the control and elimination of infectious diseases. The analysis is fully reproducible: all code and derived data are openly available at https://github.com/bougtoir/ndb-dea-drug-lag, and the raw NDB Open Data are re-downloadable from the Ministry of Health, Labour and Welfare, so every reported number, figure, and table can be regenerated from the public data. Figures are supplied as separate high-resolution files per the journal's Instructions for Authors. A completed STROBE checklist is provided as Supplementary Material.</w:t>
      </w:r>
    </w:p>
    <w:p>
      <w:r>
        <w:t>This manuscript is original, has not been published previously, and is not under consideration elsewhere. All authors have approved the submission, contributed substantially to the study design, data interpretation, and manuscript preparation, and declare no conflicts of interest. The study used only publicly available, aggregated data with no individual-level information, so ethics-committee approval and informed consent were not required.</w:t>
      </w:r>
    </w:p>
    <w:p>
      <w:r>
        <w:rPr>
          <w:b/>
        </w:rPr>
        <w:t xml:space="preserve">Author contributions. </w:t>
      </w:r>
      <w:r>
        <w:t>[To be completed by the authors, per the ICMJE criteria. Example: T.O. conceived the study, designed the analysis, and drafted the manuscript; X.Y. curated the data and reviewed the analysis; Z.W. reviewed and edited the manuscript. All authors read and approved the final version.]</w:t>
      </w:r>
    </w:p>
    <w:p>
      <w:r>
        <w:t>Thank you for considering our work.</w:t>
      </w:r>
    </w:p>
    <w:p/>
    <w:p>
      <w:r>
        <w:t>Sincerely,</w:t>
      </w:r>
    </w:p>
    <w:p>
      <w:r>
        <w:t>[Corresponding author name, on behalf of all authors]</w:t>
      </w:r>
    </w:p>
    <w:p/>
    <w:p>
      <w:r>
        <w:rPr>
          <w:b/>
        </w:rPr>
        <w:t xml:space="preserve">Suggested reviewers. </w:t>
      </w:r>
      <w:r>
        <w:t>[Three potential referees with names, affiliations, and email addresses to be added by the authors, per the journal's Instructions for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