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Hepatology Research</w:t>
      </w:r>
    </w:p>
    <w:p/>
    <w:p>
      <w:r>
        <w:t>Dear Editor,</w:t>
      </w:r>
    </w:p>
    <w:p>
      <w:r>
        <w:t>Please consider our manuscript, “Rapid population-level displacement of interferon-based hepatitis C therapy by interferon-free direct-acting antivirals in Japan,” for publication as an Original Article in Hepatology Research.</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Hepatology Research. Japan's rapid transition from interferon-based to interferon-free hepatitis C therapy is a national example of the uptake problems faced by the global HCV elimination agenda, and the analysis connects clinical hepatology with health-system uptake by using open dispensing data to measure how quickly a population moved away from the established standard once the new regimens were listed and subsidized.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