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4"/>
        </w:rPr>
        <w:t>Highlights</w:t>
      </w:r>
    </w:p>
    <w:p>
      <w:pPr>
        <w:pStyle w:val="ListBullet"/>
      </w:pPr>
      <w:r>
        <w:t>National interferon-free DAA uptake replaced interferon-based hepatitis C therapy within one fiscal year.</w:t>
      </w:r>
    </w:p>
    <w:p>
      <w:pPr>
        <w:pStyle w:val="ListBullet"/>
      </w:pPr>
      <w:r>
        <w:t>Estimated hepatitis C treatment volume surged, then declined as the diagnosed prevalent pool was treated.</w:t>
      </w:r>
    </w:p>
    <w:p>
      <w:pPr>
        <w:pStyle w:val="ListBullet"/>
      </w:pPr>
      <w:r>
        <w:t>Japan's open claims data captured the transition despite top-ranked-product listing and small-cell masking rules.</w:t>
      </w:r>
    </w:p>
    <w:p>
      <w:pPr>
        <w:pStyle w:val="ListBullet"/>
      </w:pPr>
      <w:r>
        <w:t>The trajectory shows how quickly reimbursed curative therapy can move a treated population.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