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How quickly did interferon-based therapy for hepatitis C give way to interferon-free direct-acting antivirals? A national dispensing analysis of Japan's NDB Open Data, fiscal years 2014-2023</w:t>
      </w:r>
    </w:p>
    <w:p>
      <w:pPr>
        <w:pStyle w:val="Heading1"/>
      </w:pPr>
      <w:r>
        <w:t>Abstract</w:t>
      </w:r>
    </w:p>
    <w:p>
      <w:r>
        <w:rPr>
          <w:b/>
        </w:rPr>
        <w:t xml:space="preserve">Background: </w:t>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t xml:space="preserve">Methods: </w:t>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t xml:space="preserve">Results: </w:t>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t xml:space="preserve">Conclusions: </w:t>
      </w:r>
      <w:r>
        <w:t>National hepatitis C treatment switched almost entirely to interferon-free regimens within a year of reimbursement, with a surge and decline in total volume of the kind expected when a curative therapy works through a prevalent pool.</w:t>
      </w:r>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rPr>
          <w:vertAlign w:val="superscript"/>
        </w:rPr>
        <w:t>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rPr>
          <w:vertAlign w:val="superscript"/>
        </w:rPr>
        <w:t>2</w:t>
      </w:r>
      <w:r>
        <w:t>. Interferon-free all-oral regimens then arrived in quick succession: daclatasvir plus asunaprevir, approved in July 2014, was the first regimen worldwide to dispense with both interferon and ribavirin</w:t>
      </w:r>
      <w:r>
        <w:rPr>
          <w:vertAlign w:val="superscript"/>
        </w:rPr>
        <w:t>3,4</w:t>
      </w:r>
      <w:r>
        <w:t>, followed by sofosbuvir-based and pangenotypic regimens with cure rates above 90% and treatment durations of 8-12 weeks</w:t>
      </w:r>
      <w:r>
        <w:rPr>
          <w:vertAlign w:val="superscript"/>
        </w:rPr>
        <w:t>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rPr>
          <w:vertAlign w:val="superscript"/>
        </w:rPr>
        <w:t>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3,8</w:t>
      </w:r>
      <w:r>
        <w:t>. No measure of news or social-media coverage, or of patient or prescriber exposure to it, was available, so media effects were not included as an exposure in this study.</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sz w:val="15"/>
              </w:rPr>
              <w:t>FY</w:t>
            </w:r>
          </w:p>
        </w:tc>
        <w:tc>
          <w:tcPr>
            <w:tcW w:type="dxa" w:w="1728"/>
          </w:tcPr>
          <w:p>
            <w:r>
              <w:rPr>
                <w:b/>
                <w:sz w:val="15"/>
              </w:rPr>
              <w:t>Date</w:t>
            </w:r>
          </w:p>
        </w:tc>
        <w:tc>
          <w:tcPr>
            <w:tcW w:type="dxa" w:w="1728"/>
          </w:tcPr>
          <w:p>
            <w:r>
              <w:rPr>
                <w:b/>
                <w:sz w:val="15"/>
              </w:rPr>
              <w:t>Drug</w:t>
            </w:r>
          </w:p>
        </w:tc>
        <w:tc>
          <w:tcPr>
            <w:tcW w:type="dxa" w:w="1728"/>
          </w:tcPr>
          <w:p>
            <w:r>
              <w:rPr>
                <w:b/>
                <w:sz w:val="15"/>
              </w:rPr>
              <w:t>Milestone</w:t>
            </w:r>
          </w:p>
        </w:tc>
        <w:tc>
          <w:tcPr>
            <w:tcW w:type="dxa" w:w="1728"/>
          </w:tcPr>
          <w:p>
            <w:r>
              <w:rPr>
                <w:b/>
                <w:sz w:val="15"/>
              </w:rPr>
              <w:t>Source</w:t>
            </w:r>
          </w:p>
        </w:tc>
      </w:tr>
      <w:tr>
        <w:tc>
          <w:tcPr>
            <w:tcW w:type="dxa" w:w="1728"/>
          </w:tcPr>
          <w:p>
            <w:r>
              <w:rPr>
                <w:sz w:val="15"/>
              </w:rPr>
              <w:t>2014</w:t>
            </w:r>
          </w:p>
        </w:tc>
        <w:tc>
          <w:tcPr>
            <w:tcW w:type="dxa" w:w="1728"/>
          </w:tcPr>
          <w:p>
            <w:r>
              <w:rPr>
                <w:sz w:val="15"/>
              </w:rPr>
              <w:t>2014-07-04</w:t>
            </w:r>
          </w:p>
        </w:tc>
        <w:tc>
          <w:tcPr>
            <w:tcW w:type="dxa" w:w="1728"/>
          </w:tcPr>
          <w:p>
            <w:r>
              <w:rPr>
                <w:sz w:val="15"/>
              </w:rPr>
              <w:t>daclatasvir + asunaprevir</w:t>
            </w:r>
          </w:p>
        </w:tc>
        <w:tc>
          <w:tcPr>
            <w:tcW w:type="dxa" w:w="1728"/>
          </w:tcPr>
          <w:p>
            <w:r>
              <w:rPr>
                <w:sz w:val="15"/>
              </w:rPr>
              <w:t>approval</w:t>
            </w:r>
          </w:p>
        </w:tc>
        <w:tc>
          <w:tcPr>
            <w:tcW w:type="dxa" w:w="1728"/>
          </w:tcPr>
          <w:p>
            <w:r>
              <w:rPr>
                <w:sz w:val="15"/>
              </w:rPr>
              <w:t>Approval date 2014-07-04 (asunaprevir and daclatasvir package inserts); Bristol-Myers Squibb K.K. press release, 2014-07-04</w:t>
            </w:r>
          </w:p>
        </w:tc>
      </w:tr>
      <w:tr>
        <w:tc>
          <w:tcPr>
            <w:tcW w:type="dxa" w:w="1728"/>
          </w:tcPr>
          <w:p>
            <w:r>
              <w:rPr>
                <w:sz w:val="15"/>
              </w:rPr>
              <w:t>2014</w:t>
            </w:r>
          </w:p>
        </w:tc>
        <w:tc>
          <w:tcPr>
            <w:tcW w:type="dxa" w:w="1728"/>
          </w:tcPr>
          <w:p>
            <w:r>
              <w:rPr>
                <w:sz w:val="15"/>
              </w:rPr>
              <w:t>2014-09-02</w:t>
            </w:r>
          </w:p>
        </w:tc>
        <w:tc>
          <w:tcPr>
            <w:tcW w:type="dxa" w:w="1728"/>
          </w:tcPr>
          <w:p>
            <w:r>
              <w:rPr>
                <w:sz w:val="15"/>
              </w:rPr>
              <w:t>daclatasvir + asunaprevir</w:t>
            </w:r>
          </w:p>
        </w:tc>
        <w:tc>
          <w:tcPr>
            <w:tcW w:type="dxa" w:w="1728"/>
          </w:tcPr>
          <w:p>
            <w:r>
              <w:rPr>
                <w:sz w:val="15"/>
              </w:rPr>
              <w:t>NHI listing</w:t>
            </w:r>
          </w:p>
        </w:tc>
        <w:tc>
          <w:tcPr>
            <w:tcW w:type="dxa" w:w="1728"/>
          </w:tcPr>
          <w:p>
            <w:r>
              <w:rPr>
                <w:sz w:val="15"/>
              </w:rPr>
              <w:t>NHI drug-price listing date 2014-09-02 (asunaprevir and daclatasvir package inserts); market launch 2014-09-03 (Bristol-Myers Squibb K.K. press release)</w:t>
            </w:r>
          </w:p>
        </w:tc>
      </w:tr>
      <w:tr>
        <w:tc>
          <w:tcPr>
            <w:tcW w:type="dxa" w:w="1728"/>
          </w:tcPr>
          <w:p>
            <w:r>
              <w:rPr>
                <w:sz w:val="15"/>
              </w:rPr>
              <w:t>2015</w:t>
            </w:r>
          </w:p>
        </w:tc>
        <w:tc>
          <w:tcPr>
            <w:tcW w:type="dxa" w:w="1728"/>
          </w:tcPr>
          <w:p>
            <w:r>
              <w:rPr>
                <w:sz w:val="15"/>
              </w:rPr>
              <w:t>2015-03-26</w:t>
            </w:r>
          </w:p>
        </w:tc>
        <w:tc>
          <w:tcPr>
            <w:tcW w:type="dxa" w:w="1728"/>
          </w:tcPr>
          <w:p>
            <w:r>
              <w:rPr>
                <w:sz w:val="15"/>
              </w:rPr>
              <w:t>sofosbuvir</w:t>
            </w:r>
          </w:p>
        </w:tc>
        <w:tc>
          <w:tcPr>
            <w:tcW w:type="dxa" w:w="1728"/>
          </w:tcPr>
          <w:p>
            <w:r>
              <w:rPr>
                <w:sz w:val="15"/>
              </w:rPr>
              <w:t>approval</w:t>
            </w:r>
          </w:p>
        </w:tc>
        <w:tc>
          <w:tcPr>
            <w:tcW w:type="dxa" w:w="1728"/>
          </w:tcPr>
          <w:p>
            <w:r>
              <w:rPr>
                <w:sz w:val="15"/>
              </w:rPr>
              <w:t>Sofosbuvir approval date 2015-03-26 (package insert / interview form)</w:t>
            </w:r>
          </w:p>
        </w:tc>
      </w:tr>
      <w:tr>
        <w:tc>
          <w:tcPr>
            <w:tcW w:type="dxa" w:w="1728"/>
          </w:tcPr>
          <w:p>
            <w:r>
              <w:rPr>
                <w:sz w:val="15"/>
              </w:rPr>
              <w:t>2015</w:t>
            </w:r>
          </w:p>
        </w:tc>
        <w:tc>
          <w:tcPr>
            <w:tcW w:type="dxa" w:w="1728"/>
          </w:tcPr>
          <w:p>
            <w:r>
              <w:rPr>
                <w:sz w:val="15"/>
              </w:rPr>
              <w:t>2015-05-20</w:t>
            </w:r>
          </w:p>
        </w:tc>
        <w:tc>
          <w:tcPr>
            <w:tcW w:type="dxa" w:w="1728"/>
          </w:tcPr>
          <w:p>
            <w:r>
              <w:rPr>
                <w:sz w:val="15"/>
              </w:rPr>
              <w:t>sofosbuvir</w:t>
            </w:r>
          </w:p>
        </w:tc>
        <w:tc>
          <w:tcPr>
            <w:tcW w:type="dxa" w:w="1728"/>
          </w:tcPr>
          <w:p>
            <w:r>
              <w:rPr>
                <w:sz w:val="15"/>
              </w:rPr>
              <w:t>NHI listing</w:t>
            </w:r>
          </w:p>
        </w:tc>
        <w:tc>
          <w:tcPr>
            <w:tcW w:type="dxa" w:w="1728"/>
          </w:tcPr>
          <w:p>
            <w:r>
              <w:rPr>
                <w:sz w:val="15"/>
              </w:rPr>
              <w:t>NHI listing 2015-05-20 (Chuikyo plenary decision 2015-05-13; MHLW Health Insurance Bureau notification Ho-i-hatsu 0519 No. 1)</w:t>
            </w:r>
          </w:p>
        </w:tc>
      </w:tr>
      <w:tr>
        <w:tc>
          <w:tcPr>
            <w:tcW w:type="dxa" w:w="1728"/>
          </w:tcPr>
          <w:p>
            <w:r>
              <w:rPr>
                <w:sz w:val="15"/>
              </w:rPr>
              <w:t>2015</w:t>
            </w:r>
          </w:p>
        </w:tc>
        <w:tc>
          <w:tcPr>
            <w:tcW w:type="dxa" w:w="1728"/>
          </w:tcPr>
          <w:p>
            <w:r>
              <w:rPr>
                <w:sz w:val="15"/>
              </w:rPr>
              <w:t>2015-07-03</w:t>
            </w:r>
          </w:p>
        </w:tc>
        <w:tc>
          <w:tcPr>
            <w:tcW w:type="dxa" w:w="1728"/>
          </w:tcPr>
          <w:p>
            <w:r>
              <w:rPr>
                <w:sz w:val="15"/>
              </w:rPr>
              <w:t>ledipasvir/sofosbuvir</w:t>
            </w:r>
          </w:p>
        </w:tc>
        <w:tc>
          <w:tcPr>
            <w:tcW w:type="dxa" w:w="1728"/>
          </w:tcPr>
          <w:p>
            <w:r>
              <w:rPr>
                <w:sz w:val="15"/>
              </w:rPr>
              <w:t>approval</w:t>
            </w:r>
          </w:p>
        </w:tc>
        <w:tc>
          <w:tcPr>
            <w:tcW w:type="dxa" w:w="1728"/>
          </w:tcPr>
          <w:p>
            <w:r>
              <w:rPr>
                <w:sz w:val="15"/>
              </w:rPr>
              <w:t>MHLW marketing approval 2015-07-03 (package insert; reported by Asahi Shimbun, 2015-07-04)</w:t>
            </w:r>
          </w:p>
        </w:tc>
      </w:tr>
      <w:tr>
        <w:tc>
          <w:tcPr>
            <w:tcW w:type="dxa" w:w="1728"/>
          </w:tcPr>
          <w:p>
            <w:r>
              <w:rPr>
                <w:sz w:val="15"/>
              </w:rPr>
              <w:t>2015</w:t>
            </w:r>
          </w:p>
        </w:tc>
        <w:tc>
          <w:tcPr>
            <w:tcW w:type="dxa" w:w="1728"/>
          </w:tcPr>
          <w:p>
            <w:r>
              <w:rPr>
                <w:sz w:val="15"/>
              </w:rPr>
              <w:t>2015-08-31</w:t>
            </w:r>
          </w:p>
        </w:tc>
        <w:tc>
          <w:tcPr>
            <w:tcW w:type="dxa" w:w="1728"/>
          </w:tcPr>
          <w:p>
            <w:r>
              <w:rPr>
                <w:sz w:val="15"/>
              </w:rPr>
              <w:t>ledipasvir/sofosbuvir</w:t>
            </w:r>
          </w:p>
        </w:tc>
        <w:tc>
          <w:tcPr>
            <w:tcW w:type="dxa" w:w="1728"/>
          </w:tcPr>
          <w:p>
            <w:r>
              <w:rPr>
                <w:sz w:val="15"/>
              </w:rPr>
              <w:t>NHI listing</w:t>
            </w:r>
          </w:p>
        </w:tc>
        <w:tc>
          <w:tcPr>
            <w:tcW w:type="dxa" w:w="1728"/>
          </w:tcPr>
          <w:p>
            <w:r>
              <w:rPr>
                <w:sz w:val="15"/>
              </w:rPr>
              <w:t>Ledipasvir/sofosbuvir NHI drug-price listing date 2015-08-31 (package insert)</w:t>
            </w:r>
          </w:p>
        </w:tc>
      </w:tr>
      <w:tr>
        <w:tc>
          <w:tcPr>
            <w:tcW w:type="dxa" w:w="1728"/>
          </w:tcPr>
          <w:p>
            <w:r>
              <w:rPr>
                <w:sz w:val="15"/>
              </w:rPr>
              <w:t>2017</w:t>
            </w:r>
          </w:p>
        </w:tc>
        <w:tc>
          <w:tcPr>
            <w:tcW w:type="dxa" w:w="1728"/>
          </w:tcPr>
          <w:p>
            <w:r>
              <w:rPr>
                <w:sz w:val="15"/>
              </w:rPr>
              <w:t>2017-09-27</w:t>
            </w:r>
          </w:p>
        </w:tc>
        <w:tc>
          <w:tcPr>
            <w:tcW w:type="dxa" w:w="1728"/>
          </w:tcPr>
          <w:p>
            <w:r>
              <w:rPr>
                <w:sz w:val="15"/>
              </w:rPr>
              <w:t>glecaprevir/pibrentasvir</w:t>
            </w:r>
          </w:p>
        </w:tc>
        <w:tc>
          <w:tcPr>
            <w:tcW w:type="dxa" w:w="1728"/>
          </w:tcPr>
          <w:p>
            <w:r>
              <w:rPr>
                <w:sz w:val="15"/>
              </w:rPr>
              <w:t>approval</w:t>
            </w:r>
          </w:p>
        </w:tc>
        <w:tc>
          <w:tcPr>
            <w:tcW w:type="dxa" w:w="1728"/>
          </w:tcPr>
          <w:p>
            <w:r>
              <w:rPr>
                <w:sz w:val="15"/>
              </w:rPr>
              <w:t>Marketing approval 2017-09-27 (PMDA/MHLW; AbbVie GK)</w:t>
            </w:r>
          </w:p>
        </w:tc>
      </w:tr>
      <w:tr>
        <w:tc>
          <w:tcPr>
            <w:tcW w:type="dxa" w:w="1728"/>
          </w:tcPr>
          <w:p>
            <w:r>
              <w:rPr>
                <w:sz w:val="15"/>
              </w:rPr>
              <w:t>2017</w:t>
            </w:r>
          </w:p>
        </w:tc>
        <w:tc>
          <w:tcPr>
            <w:tcW w:type="dxa" w:w="1728"/>
          </w:tcPr>
          <w:p>
            <w:r>
              <w:rPr>
                <w:sz w:val="15"/>
              </w:rPr>
              <w:t>2017-11-22</w:t>
            </w:r>
          </w:p>
        </w:tc>
        <w:tc>
          <w:tcPr>
            <w:tcW w:type="dxa" w:w="1728"/>
          </w:tcPr>
          <w:p>
            <w:r>
              <w:rPr>
                <w:sz w:val="15"/>
              </w:rPr>
              <w:t>glecaprevir/pibrentasvir</w:t>
            </w:r>
          </w:p>
        </w:tc>
        <w:tc>
          <w:tcPr>
            <w:tcW w:type="dxa" w:w="1728"/>
          </w:tcPr>
          <w:p>
            <w:r>
              <w:rPr>
                <w:sz w:val="15"/>
              </w:rPr>
              <w:t>NHI listing</w:t>
            </w:r>
          </w:p>
        </w:tc>
        <w:tc>
          <w:tcPr>
            <w:tcW w:type="dxa" w:w="1728"/>
          </w:tcPr>
          <w:p>
            <w:r>
              <w:rPr>
                <w:sz w:val="15"/>
              </w:rPr>
              <w:t>Glecaprevir/pibrentasvir NHI drug-price listing date 2017-11-22 (Chuikyo plenary decision 2017-11-15; package insert); market launch 2017-11-27</w:t>
            </w:r>
          </w:p>
        </w:tc>
      </w:tr>
    </w:tbl>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9</w:t>
      </w:r>
      <w:r>
        <w:t>, cross-checked against a residual bootstrap (10,000 resamples)</w:t>
      </w:r>
      <w:r>
        <w:rPr>
          <w:vertAlign w:val="superscript"/>
        </w:rPr>
        <w:t>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en.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Peginterferon (syringes)</w:t>
            </w:r>
          </w:p>
        </w:tc>
        <w:tc>
          <w:tcPr>
            <w:tcW w:type="dxa" w:w="1440"/>
          </w:tcPr>
          <w:p>
            <w:r>
              <w:rPr>
                <w:b/>
                <w:sz w:val="15"/>
              </w:rPr>
              <w:t>First-generation protease inhibitors (with peginterferon)</w:t>
            </w:r>
          </w:p>
        </w:tc>
        <w:tc>
          <w:tcPr>
            <w:tcW w:type="dxa" w:w="1440"/>
          </w:tcPr>
          <w:p>
            <w:r>
              <w:rPr>
                <w:b/>
                <w:sz w:val="15"/>
              </w:rPr>
              <w:t>Conventional interferon (not hepatitis-C-specific)</w:t>
            </w:r>
          </w:p>
        </w:tc>
        <w:tc>
          <w:tcPr>
            <w:tcW w:type="dxa" w:w="1440"/>
          </w:tcPr>
          <w:p>
            <w:r>
              <w:rPr>
                <w:b/>
                <w:sz w:val="15"/>
              </w:rPr>
              <w:t>Ribavirin (both regimens)</w:t>
            </w:r>
          </w:p>
        </w:tc>
        <w:tc>
          <w:tcPr>
            <w:tcW w:type="dxa" w:w="1440"/>
          </w:tcPr>
          <w:p>
            <w:r>
              <w:rPr>
                <w:b/>
                <w:sz w:val="15"/>
              </w:rPr>
              <w:t>Interferon-free DAA total</w:t>
            </w:r>
          </w:p>
        </w:tc>
      </w:tr>
      <w:tr>
        <w:tc>
          <w:tcPr>
            <w:tcW w:type="dxa" w:w="1440"/>
          </w:tcPr>
          <w:p>
            <w:r>
              <w:rPr>
                <w:sz w:val="15"/>
              </w:rPr>
              <w:t>2014</w:t>
            </w:r>
          </w:p>
        </w:tc>
        <w:tc>
          <w:tcPr>
            <w:tcW w:type="dxa" w:w="1440"/>
          </w:tcPr>
          <w:p>
            <w:r>
              <w:rPr>
                <w:sz w:val="15"/>
              </w:rPr>
              <w:t>619,333</w:t>
            </w:r>
          </w:p>
        </w:tc>
        <w:tc>
          <w:tcPr>
            <w:tcW w:type="dxa" w:w="1440"/>
          </w:tcPr>
          <w:p>
            <w:r>
              <w:rPr>
                <w:sz w:val="15"/>
              </w:rPr>
              <w:t>826,748</w:t>
            </w:r>
          </w:p>
        </w:tc>
        <w:tc>
          <w:tcPr>
            <w:tcW w:type="dxa" w:w="1440"/>
          </w:tcPr>
          <w:p>
            <w:r>
              <w:rPr>
                <w:sz w:val="15"/>
              </w:rPr>
              <w:t>326,802</w:t>
            </w:r>
          </w:p>
        </w:tc>
        <w:tc>
          <w:tcPr>
            <w:tcW w:type="dxa" w:w="1440"/>
          </w:tcPr>
          <w:p>
            <w:r>
              <w:rPr>
                <w:sz w:val="15"/>
              </w:rPr>
              <w:t>10,166,159</w:t>
            </w:r>
          </w:p>
        </w:tc>
        <w:tc>
          <w:tcPr>
            <w:tcW w:type="dxa" w:w="1440"/>
          </w:tcPr>
          <w:p>
            <w:r>
              <w:rPr>
                <w:sz w:val="15"/>
              </w:rPr>
              <w:t>6,736,616</w:t>
            </w:r>
          </w:p>
        </w:tc>
      </w:tr>
      <w:tr>
        <w:tc>
          <w:tcPr>
            <w:tcW w:type="dxa" w:w="1440"/>
          </w:tcPr>
          <w:p>
            <w:r>
              <w:rPr>
                <w:sz w:val="15"/>
              </w:rPr>
              <w:t>2015</w:t>
            </w:r>
          </w:p>
        </w:tc>
        <w:tc>
          <w:tcPr>
            <w:tcW w:type="dxa" w:w="1440"/>
          </w:tcPr>
          <w:p>
            <w:r>
              <w:rPr>
                <w:sz w:val="15"/>
              </w:rPr>
              <w:t>131,081</w:t>
            </w:r>
          </w:p>
        </w:tc>
        <w:tc>
          <w:tcPr>
            <w:tcW w:type="dxa" w:w="1440"/>
          </w:tcPr>
          <w:p>
            <w:r>
              <w:rPr>
                <w:sz w:val="15"/>
              </w:rPr>
              <w:t>173,122</w:t>
            </w:r>
          </w:p>
        </w:tc>
        <w:tc>
          <w:tcPr>
            <w:tcW w:type="dxa" w:w="1440"/>
          </w:tcPr>
          <w:p>
            <w:r>
              <w:rPr>
                <w:sz w:val="15"/>
              </w:rPr>
              <w:t>224,563</w:t>
            </w:r>
          </w:p>
        </w:tc>
        <w:tc>
          <w:tcPr>
            <w:tcW w:type="dxa" w:w="1440"/>
          </w:tcPr>
          <w:p>
            <w:r>
              <w:rPr>
                <w:sz w:val="15"/>
              </w:rPr>
              <w:t>8,100,850</w:t>
            </w:r>
          </w:p>
        </w:tc>
        <w:tc>
          <w:tcPr>
            <w:tcW w:type="dxa" w:w="1440"/>
          </w:tcPr>
          <w:p>
            <w:r>
              <w:rPr>
                <w:sz w:val="15"/>
              </w:rPr>
              <w:t>19,374,861</w:t>
            </w:r>
          </w:p>
        </w:tc>
      </w:tr>
      <w:tr>
        <w:tc>
          <w:tcPr>
            <w:tcW w:type="dxa" w:w="1440"/>
          </w:tcPr>
          <w:p>
            <w:r>
              <w:rPr>
                <w:sz w:val="15"/>
              </w:rPr>
              <w:t>2016</w:t>
            </w:r>
          </w:p>
        </w:tc>
        <w:tc>
          <w:tcPr>
            <w:tcW w:type="dxa" w:w="1440"/>
          </w:tcPr>
          <w:p>
            <w:r>
              <w:rPr>
                <w:sz w:val="15"/>
              </w:rPr>
              <w:t>33,688</w:t>
            </w:r>
          </w:p>
        </w:tc>
        <w:tc>
          <w:tcPr>
            <w:tcW w:type="dxa" w:w="1440"/>
          </w:tcPr>
          <w:p>
            <w:r>
              <w:rPr>
                <w:sz w:val="15"/>
              </w:rPr>
              <w:t>0</w:t>
            </w:r>
          </w:p>
        </w:tc>
        <w:tc>
          <w:tcPr>
            <w:tcW w:type="dxa" w:w="1440"/>
          </w:tcPr>
          <w:p>
            <w:r>
              <w:rPr>
                <w:sz w:val="15"/>
              </w:rPr>
              <w:t>168,967</w:t>
            </w:r>
          </w:p>
        </w:tc>
        <w:tc>
          <w:tcPr>
            <w:tcW w:type="dxa" w:w="1440"/>
          </w:tcPr>
          <w:p>
            <w:r>
              <w:rPr>
                <w:sz w:val="15"/>
              </w:rPr>
              <w:t>4,849,660</w:t>
            </w:r>
          </w:p>
        </w:tc>
        <w:tc>
          <w:tcPr>
            <w:tcW w:type="dxa" w:w="1440"/>
          </w:tcPr>
          <w:p>
            <w:r>
              <w:rPr>
                <w:sz w:val="15"/>
              </w:rPr>
              <w:t>6,783,118</w:t>
            </w:r>
          </w:p>
        </w:tc>
      </w:tr>
      <w:tr>
        <w:tc>
          <w:tcPr>
            <w:tcW w:type="dxa" w:w="1440"/>
          </w:tcPr>
          <w:p>
            <w:r>
              <w:rPr>
                <w:sz w:val="15"/>
              </w:rPr>
              <w:t>2017</w:t>
            </w:r>
          </w:p>
        </w:tc>
        <w:tc>
          <w:tcPr>
            <w:tcW w:type="dxa" w:w="1440"/>
          </w:tcPr>
          <w:p>
            <w:r>
              <w:rPr>
                <w:sz w:val="15"/>
              </w:rPr>
              <w:t>21,176</w:t>
            </w:r>
          </w:p>
        </w:tc>
        <w:tc>
          <w:tcPr>
            <w:tcW w:type="dxa" w:w="1440"/>
          </w:tcPr>
          <w:p>
            <w:r>
              <w:rPr>
                <w:sz w:val="15"/>
              </w:rPr>
              <w:t>0</w:t>
            </w:r>
          </w:p>
        </w:tc>
        <w:tc>
          <w:tcPr>
            <w:tcW w:type="dxa" w:w="1440"/>
          </w:tcPr>
          <w:p>
            <w:r>
              <w:rPr>
                <w:sz w:val="15"/>
              </w:rPr>
              <w:t>130,383</w:t>
            </w:r>
          </w:p>
        </w:tc>
        <w:tc>
          <w:tcPr>
            <w:tcW w:type="dxa" w:w="1440"/>
          </w:tcPr>
          <w:p>
            <w:r>
              <w:rPr>
                <w:sz w:val="15"/>
              </w:rPr>
              <w:t>2,687,890</w:t>
            </w:r>
          </w:p>
        </w:tc>
        <w:tc>
          <w:tcPr>
            <w:tcW w:type="dxa" w:w="1440"/>
          </w:tcPr>
          <w:p>
            <w:r>
              <w:rPr>
                <w:sz w:val="15"/>
              </w:rPr>
              <w:t>5,062,848</w:t>
            </w:r>
          </w:p>
        </w:tc>
      </w:tr>
      <w:tr>
        <w:tc>
          <w:tcPr>
            <w:tcW w:type="dxa" w:w="1440"/>
          </w:tcPr>
          <w:p>
            <w:r>
              <w:rPr>
                <w:sz w:val="15"/>
              </w:rPr>
              <w:t>2018</w:t>
            </w:r>
          </w:p>
        </w:tc>
        <w:tc>
          <w:tcPr>
            <w:tcW w:type="dxa" w:w="1440"/>
          </w:tcPr>
          <w:p>
            <w:r>
              <w:rPr>
                <w:sz w:val="15"/>
              </w:rPr>
              <w:t>14,162</w:t>
            </w:r>
          </w:p>
        </w:tc>
        <w:tc>
          <w:tcPr>
            <w:tcW w:type="dxa" w:w="1440"/>
          </w:tcPr>
          <w:p>
            <w:r>
              <w:rPr>
                <w:sz w:val="15"/>
              </w:rPr>
              <w:t>0</w:t>
            </w:r>
          </w:p>
        </w:tc>
        <w:tc>
          <w:tcPr>
            <w:tcW w:type="dxa" w:w="1440"/>
          </w:tcPr>
          <w:p>
            <w:r>
              <w:rPr>
                <w:sz w:val="15"/>
              </w:rPr>
              <w:t>103,120</w:t>
            </w:r>
          </w:p>
        </w:tc>
        <w:tc>
          <w:tcPr>
            <w:tcW w:type="dxa" w:w="1440"/>
          </w:tcPr>
          <w:p>
            <w:r>
              <w:rPr>
                <w:sz w:val="15"/>
              </w:rPr>
              <w:t>3,124</w:t>
            </w:r>
          </w:p>
        </w:tc>
        <w:tc>
          <w:tcPr>
            <w:tcW w:type="dxa" w:w="1440"/>
          </w:tcPr>
          <w:p>
            <w:r>
              <w:rPr>
                <w:sz w:val="15"/>
              </w:rPr>
              <w:t>5,051,120</w:t>
            </w:r>
          </w:p>
        </w:tc>
      </w:tr>
      <w:tr>
        <w:tc>
          <w:tcPr>
            <w:tcW w:type="dxa" w:w="1440"/>
          </w:tcPr>
          <w:p>
            <w:r>
              <w:rPr>
                <w:sz w:val="15"/>
              </w:rPr>
              <w:t>2019</w:t>
            </w:r>
          </w:p>
        </w:tc>
        <w:tc>
          <w:tcPr>
            <w:tcW w:type="dxa" w:w="1440"/>
          </w:tcPr>
          <w:p>
            <w:r>
              <w:rPr>
                <w:sz w:val="15"/>
              </w:rPr>
              <w:t>10,961</w:t>
            </w:r>
          </w:p>
        </w:tc>
        <w:tc>
          <w:tcPr>
            <w:tcW w:type="dxa" w:w="1440"/>
          </w:tcPr>
          <w:p>
            <w:r>
              <w:rPr>
                <w:sz w:val="15"/>
              </w:rPr>
              <w:t>0</w:t>
            </w:r>
          </w:p>
        </w:tc>
        <w:tc>
          <w:tcPr>
            <w:tcW w:type="dxa" w:w="1440"/>
          </w:tcPr>
          <w:p>
            <w:r>
              <w:rPr>
                <w:sz w:val="15"/>
              </w:rPr>
              <w:t>75,458</w:t>
            </w:r>
          </w:p>
        </w:tc>
        <w:tc>
          <w:tcPr>
            <w:tcW w:type="dxa" w:w="1440"/>
          </w:tcPr>
          <w:p>
            <w:r>
              <w:rPr>
                <w:sz w:val="15"/>
              </w:rPr>
              <w:t>62,956</w:t>
            </w:r>
          </w:p>
        </w:tc>
        <w:tc>
          <w:tcPr>
            <w:tcW w:type="dxa" w:w="1440"/>
          </w:tcPr>
          <w:p>
            <w:r>
              <w:rPr>
                <w:sz w:val="15"/>
              </w:rPr>
              <w:t>3,165,028</w:t>
            </w:r>
          </w:p>
        </w:tc>
      </w:tr>
      <w:tr>
        <w:tc>
          <w:tcPr>
            <w:tcW w:type="dxa" w:w="1440"/>
          </w:tcPr>
          <w:p>
            <w:r>
              <w:rPr>
                <w:sz w:val="15"/>
              </w:rPr>
              <w:t>2020</w:t>
            </w:r>
          </w:p>
        </w:tc>
        <w:tc>
          <w:tcPr>
            <w:tcW w:type="dxa" w:w="1440"/>
          </w:tcPr>
          <w:p>
            <w:r>
              <w:rPr>
                <w:sz w:val="15"/>
              </w:rPr>
              <w:t>8,013</w:t>
            </w:r>
          </w:p>
        </w:tc>
        <w:tc>
          <w:tcPr>
            <w:tcW w:type="dxa" w:w="1440"/>
          </w:tcPr>
          <w:p>
            <w:r>
              <w:rPr>
                <w:sz w:val="15"/>
              </w:rPr>
              <w:t>0</w:t>
            </w:r>
          </w:p>
        </w:tc>
        <w:tc>
          <w:tcPr>
            <w:tcW w:type="dxa" w:w="1440"/>
          </w:tcPr>
          <w:p>
            <w:r>
              <w:rPr>
                <w:sz w:val="15"/>
              </w:rPr>
              <w:t>54,982</w:t>
            </w:r>
          </w:p>
        </w:tc>
        <w:tc>
          <w:tcPr>
            <w:tcW w:type="dxa" w:w="1440"/>
          </w:tcPr>
          <w:p>
            <w:r>
              <w:rPr>
                <w:sz w:val="15"/>
              </w:rPr>
              <w:t>0</w:t>
            </w:r>
          </w:p>
        </w:tc>
        <w:tc>
          <w:tcPr>
            <w:tcW w:type="dxa" w:w="1440"/>
          </w:tcPr>
          <w:p>
            <w:r>
              <w:rPr>
                <w:sz w:val="15"/>
              </w:rPr>
              <w:t>2,356,769</w:t>
            </w:r>
          </w:p>
        </w:tc>
      </w:tr>
      <w:tr>
        <w:tc>
          <w:tcPr>
            <w:tcW w:type="dxa" w:w="1440"/>
          </w:tcPr>
          <w:p>
            <w:r>
              <w:rPr>
                <w:sz w:val="15"/>
              </w:rPr>
              <w:t>2021</w:t>
            </w:r>
          </w:p>
        </w:tc>
        <w:tc>
          <w:tcPr>
            <w:tcW w:type="dxa" w:w="1440"/>
          </w:tcPr>
          <w:p>
            <w:r>
              <w:rPr>
                <w:sz w:val="15"/>
              </w:rPr>
              <w:t>7,534</w:t>
            </w:r>
          </w:p>
        </w:tc>
        <w:tc>
          <w:tcPr>
            <w:tcW w:type="dxa" w:w="1440"/>
          </w:tcPr>
          <w:p>
            <w:r>
              <w:rPr>
                <w:sz w:val="15"/>
              </w:rPr>
              <w:t>0</w:t>
            </w:r>
          </w:p>
        </w:tc>
        <w:tc>
          <w:tcPr>
            <w:tcW w:type="dxa" w:w="1440"/>
          </w:tcPr>
          <w:p>
            <w:r>
              <w:rPr>
                <w:sz w:val="15"/>
              </w:rPr>
              <w:t>45,147</w:t>
            </w:r>
          </w:p>
        </w:tc>
        <w:tc>
          <w:tcPr>
            <w:tcW w:type="dxa" w:w="1440"/>
          </w:tcPr>
          <w:p>
            <w:r>
              <w:rPr>
                <w:sz w:val="15"/>
              </w:rPr>
              <w:t>0</w:t>
            </w:r>
          </w:p>
        </w:tc>
        <w:tc>
          <w:tcPr>
            <w:tcW w:type="dxa" w:w="1440"/>
          </w:tcPr>
          <w:p>
            <w:r>
              <w:rPr>
                <w:sz w:val="15"/>
              </w:rPr>
              <w:t>1,994,076</w:t>
            </w:r>
          </w:p>
        </w:tc>
      </w:tr>
      <w:tr>
        <w:tc>
          <w:tcPr>
            <w:tcW w:type="dxa" w:w="1440"/>
          </w:tcPr>
          <w:p>
            <w:r>
              <w:rPr>
                <w:sz w:val="15"/>
              </w:rPr>
              <w:t>2022</w:t>
            </w:r>
          </w:p>
        </w:tc>
        <w:tc>
          <w:tcPr>
            <w:tcW w:type="dxa" w:w="1440"/>
          </w:tcPr>
          <w:p>
            <w:r>
              <w:rPr>
                <w:sz w:val="15"/>
              </w:rPr>
              <w:t>7,073</w:t>
            </w:r>
          </w:p>
        </w:tc>
        <w:tc>
          <w:tcPr>
            <w:tcW w:type="dxa" w:w="1440"/>
          </w:tcPr>
          <w:p>
            <w:r>
              <w:rPr>
                <w:sz w:val="15"/>
              </w:rPr>
              <w:t>0</w:t>
            </w:r>
          </w:p>
        </w:tc>
        <w:tc>
          <w:tcPr>
            <w:tcW w:type="dxa" w:w="1440"/>
          </w:tcPr>
          <w:p>
            <w:r>
              <w:rPr>
                <w:sz w:val="15"/>
              </w:rPr>
              <w:t>35,298</w:t>
            </w:r>
          </w:p>
        </w:tc>
        <w:tc>
          <w:tcPr>
            <w:tcW w:type="dxa" w:w="1440"/>
          </w:tcPr>
          <w:p>
            <w:r>
              <w:rPr>
                <w:sz w:val="15"/>
              </w:rPr>
              <w:t>0</w:t>
            </w:r>
          </w:p>
        </w:tc>
        <w:tc>
          <w:tcPr>
            <w:tcW w:type="dxa" w:w="1440"/>
          </w:tcPr>
          <w:p>
            <w:r>
              <w:rPr>
                <w:sz w:val="15"/>
              </w:rPr>
              <w:t>1,545,191</w:t>
            </w:r>
          </w:p>
        </w:tc>
      </w:tr>
      <w:tr>
        <w:tc>
          <w:tcPr>
            <w:tcW w:type="dxa" w:w="1440"/>
          </w:tcPr>
          <w:p>
            <w:r>
              <w:rPr>
                <w:sz w:val="15"/>
              </w:rPr>
              <w:t>2023</w:t>
            </w:r>
          </w:p>
        </w:tc>
        <w:tc>
          <w:tcPr>
            <w:tcW w:type="dxa" w:w="1440"/>
          </w:tcPr>
          <w:p>
            <w:r>
              <w:rPr>
                <w:sz w:val="15"/>
              </w:rPr>
              <w:t>4,836</w:t>
            </w:r>
          </w:p>
        </w:tc>
        <w:tc>
          <w:tcPr>
            <w:tcW w:type="dxa" w:w="1440"/>
          </w:tcPr>
          <w:p>
            <w:r>
              <w:rPr>
                <w:sz w:val="15"/>
              </w:rPr>
              <w:t>0</w:t>
            </w:r>
          </w:p>
        </w:tc>
        <w:tc>
          <w:tcPr>
            <w:tcW w:type="dxa" w:w="1440"/>
          </w:tcPr>
          <w:p>
            <w:r>
              <w:rPr>
                <w:sz w:val="15"/>
              </w:rPr>
              <w:t>21,673</w:t>
            </w:r>
          </w:p>
        </w:tc>
        <w:tc>
          <w:tcPr>
            <w:tcW w:type="dxa" w:w="1440"/>
          </w:tcPr>
          <w:p>
            <w:r>
              <w:rPr>
                <w:sz w:val="15"/>
              </w:rPr>
              <w:t>0</w:t>
            </w:r>
          </w:p>
        </w:tc>
        <w:tc>
          <w:tcPr>
            <w:tcW w:type="dxa" w:w="1440"/>
          </w:tcPr>
          <w:p>
            <w:r>
              <w:rPr>
                <w:sz w:val="15"/>
              </w:rPr>
              <w:t>1,527,987</w:t>
            </w:r>
          </w:p>
        </w:tc>
      </w:tr>
    </w:tbl>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en.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Figure 2. Interferon-free DAA dispensed quantity by product, fiscal years 2014-2023.</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3_treatment_volume_en.png"/>
                    <pic:cNvPicPr/>
                  </pic:nvPicPr>
                  <pic:blipFill>
                    <a:blip r:embed="rId11"/>
                    <a:stretch>
                      <a:fillRect/>
                    </a:stretch>
                  </pic:blipFill>
                  <pic:spPr>
                    <a:xfrm>
                      <a:off x="0" y="0"/>
                      <a:ext cx="5760720" cy="3456432"/>
                    </a:xfrm>
                    <a:prstGeom prst="rect"/>
                  </pic:spPr>
                </pic:pic>
              </a:graphicData>
            </a:graphic>
          </wp:inline>
        </w:drawing>
      </w:r>
    </w:p>
    <w:p>
      <w:pPr>
        <w:spacing w:before="280"/>
      </w:pPr>
      <w:r>
        <w:rPr>
          <w:b/>
          <w:sz w:val="18"/>
        </w:rPr>
        <w:t>Figure 3. Estimated national hepatitis C antiviral treatment volume (interferon-free DAA courses plus peginterferon courses) and the DAA share of it. Ribavirin is excluded because it accompanied both interferon-based and interferon-free regimens.</w:t>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Interferon-free DAA courses</w:t>
            </w:r>
          </w:p>
        </w:tc>
        <w:tc>
          <w:tcPr>
            <w:tcW w:type="dxa" w:w="1440"/>
          </w:tcPr>
          <w:p>
            <w:r>
              <w:rPr>
                <w:b/>
                <w:sz w:val="15"/>
              </w:rPr>
              <w:t>Interferon-free DAA courses (longer-duration assumption)</w:t>
            </w:r>
          </w:p>
        </w:tc>
        <w:tc>
          <w:tcPr>
            <w:tcW w:type="dxa" w:w="1440"/>
          </w:tcPr>
          <w:p>
            <w:r>
              <w:rPr>
                <w:b/>
                <w:sz w:val="15"/>
              </w:rPr>
              <w:t>Peginterferon courses</w:t>
            </w:r>
          </w:p>
        </w:tc>
        <w:tc>
          <w:tcPr>
            <w:tcW w:type="dxa" w:w="1440"/>
          </w:tcPr>
          <w:p>
            <w:r>
              <w:rPr>
                <w:b/>
                <w:sz w:val="15"/>
              </w:rPr>
              <w:t>Combined treatment volume</w:t>
            </w:r>
          </w:p>
        </w:tc>
        <w:tc>
          <w:tcPr>
            <w:tcW w:type="dxa" w:w="1440"/>
          </w:tcPr>
          <w:p>
            <w:r>
              <w:rPr>
                <w:b/>
                <w:sz w:val="15"/>
              </w:rPr>
              <w:t>DAA share (%)</w:t>
            </w:r>
          </w:p>
        </w:tc>
      </w:tr>
      <w:tr>
        <w:tc>
          <w:tcPr>
            <w:tcW w:type="dxa" w:w="1440"/>
          </w:tcPr>
          <w:p>
            <w:r>
              <w:rPr>
                <w:sz w:val="15"/>
              </w:rPr>
              <w:t>2014</w:t>
            </w:r>
          </w:p>
        </w:tc>
        <w:tc>
          <w:tcPr>
            <w:tcW w:type="dxa" w:w="1440"/>
          </w:tcPr>
          <w:p>
            <w:r>
              <w:rPr>
                <w:sz w:val="15"/>
              </w:rPr>
              <w:t>13,404</w:t>
            </w:r>
          </w:p>
        </w:tc>
        <w:tc>
          <w:tcPr>
            <w:tcW w:type="dxa" w:w="1440"/>
          </w:tcPr>
          <w:p>
            <w:r>
              <w:rPr>
                <w:sz w:val="15"/>
              </w:rPr>
              <w:t>13,404</w:t>
            </w:r>
          </w:p>
        </w:tc>
        <w:tc>
          <w:tcPr>
            <w:tcW w:type="dxa" w:w="1440"/>
          </w:tcPr>
          <w:p>
            <w:r>
              <w:rPr>
                <w:sz w:val="15"/>
              </w:rPr>
              <w:t>12,903</w:t>
            </w:r>
          </w:p>
        </w:tc>
        <w:tc>
          <w:tcPr>
            <w:tcW w:type="dxa" w:w="1440"/>
          </w:tcPr>
          <w:p>
            <w:r>
              <w:rPr>
                <w:sz w:val="15"/>
              </w:rPr>
              <w:t>26,307</w:t>
            </w:r>
          </w:p>
        </w:tc>
        <w:tc>
          <w:tcPr>
            <w:tcW w:type="dxa" w:w="1440"/>
          </w:tcPr>
          <w:p>
            <w:r>
              <w:rPr>
                <w:sz w:val="15"/>
              </w:rPr>
              <w:t>50.9</w:t>
            </w:r>
          </w:p>
        </w:tc>
      </w:tr>
      <w:tr>
        <w:tc>
          <w:tcPr>
            <w:tcW w:type="dxa" w:w="1440"/>
          </w:tcPr>
          <w:p>
            <w:r>
              <w:rPr>
                <w:sz w:val="15"/>
              </w:rPr>
              <w:t>2015</w:t>
            </w:r>
          </w:p>
        </w:tc>
        <w:tc>
          <w:tcPr>
            <w:tcW w:type="dxa" w:w="1440"/>
          </w:tcPr>
          <w:p>
            <w:r>
              <w:rPr>
                <w:sz w:val="15"/>
              </w:rPr>
              <w:t>89,858</w:t>
            </w:r>
          </w:p>
        </w:tc>
        <w:tc>
          <w:tcPr>
            <w:tcW w:type="dxa" w:w="1440"/>
          </w:tcPr>
          <w:p>
            <w:r>
              <w:rPr>
                <w:sz w:val="15"/>
              </w:rPr>
              <w:t>89,858</w:t>
            </w:r>
          </w:p>
        </w:tc>
        <w:tc>
          <w:tcPr>
            <w:tcW w:type="dxa" w:w="1440"/>
          </w:tcPr>
          <w:p>
            <w:r>
              <w:rPr>
                <w:sz w:val="15"/>
              </w:rPr>
              <w:t>2,731</w:t>
            </w:r>
          </w:p>
        </w:tc>
        <w:tc>
          <w:tcPr>
            <w:tcW w:type="dxa" w:w="1440"/>
          </w:tcPr>
          <w:p>
            <w:r>
              <w:rPr>
                <w:sz w:val="15"/>
              </w:rPr>
              <w:t>92,589</w:t>
            </w:r>
          </w:p>
        </w:tc>
        <w:tc>
          <w:tcPr>
            <w:tcW w:type="dxa" w:w="1440"/>
          </w:tcPr>
          <w:p>
            <w:r>
              <w:rPr>
                <w:sz w:val="15"/>
              </w:rPr>
              <w:t>97.0</w:t>
            </w:r>
          </w:p>
        </w:tc>
      </w:tr>
      <w:tr>
        <w:tc>
          <w:tcPr>
            <w:tcW w:type="dxa" w:w="1440"/>
          </w:tcPr>
          <w:p>
            <w:r>
              <w:rPr>
                <w:sz w:val="15"/>
              </w:rPr>
              <w:t>2016</w:t>
            </w:r>
          </w:p>
        </w:tc>
        <w:tc>
          <w:tcPr>
            <w:tcW w:type="dxa" w:w="1440"/>
          </w:tcPr>
          <w:p>
            <w:r>
              <w:rPr>
                <w:sz w:val="15"/>
              </w:rPr>
              <w:t>60,598</w:t>
            </w:r>
          </w:p>
        </w:tc>
        <w:tc>
          <w:tcPr>
            <w:tcW w:type="dxa" w:w="1440"/>
          </w:tcPr>
          <w:p>
            <w:r>
              <w:rPr>
                <w:sz w:val="15"/>
              </w:rPr>
              <w:t>60,598</w:t>
            </w:r>
          </w:p>
        </w:tc>
        <w:tc>
          <w:tcPr>
            <w:tcW w:type="dxa" w:w="1440"/>
          </w:tcPr>
          <w:p>
            <w:r>
              <w:rPr>
                <w:sz w:val="15"/>
              </w:rPr>
              <w:t>702</w:t>
            </w:r>
          </w:p>
        </w:tc>
        <w:tc>
          <w:tcPr>
            <w:tcW w:type="dxa" w:w="1440"/>
          </w:tcPr>
          <w:p>
            <w:r>
              <w:rPr>
                <w:sz w:val="15"/>
              </w:rPr>
              <w:t>61,300</w:t>
            </w:r>
          </w:p>
        </w:tc>
        <w:tc>
          <w:tcPr>
            <w:tcW w:type="dxa" w:w="1440"/>
          </w:tcPr>
          <w:p>
            <w:r>
              <w:rPr>
                <w:sz w:val="15"/>
              </w:rPr>
              <w:t>98.9</w:t>
            </w:r>
          </w:p>
        </w:tc>
      </w:tr>
      <w:tr>
        <w:tc>
          <w:tcPr>
            <w:tcW w:type="dxa" w:w="1440"/>
          </w:tcPr>
          <w:p>
            <w:r>
              <w:rPr>
                <w:sz w:val="15"/>
              </w:rPr>
              <w:t>2017</w:t>
            </w:r>
          </w:p>
        </w:tc>
        <w:tc>
          <w:tcPr>
            <w:tcW w:type="dxa" w:w="1440"/>
          </w:tcPr>
          <w:p>
            <w:r>
              <w:rPr>
                <w:sz w:val="15"/>
              </w:rPr>
              <w:t>35,292</w:t>
            </w:r>
          </w:p>
        </w:tc>
        <w:tc>
          <w:tcPr>
            <w:tcW w:type="dxa" w:w="1440"/>
          </w:tcPr>
          <w:p>
            <w:r>
              <w:rPr>
                <w:sz w:val="15"/>
              </w:rPr>
              <w:t>32,903</w:t>
            </w:r>
          </w:p>
        </w:tc>
        <w:tc>
          <w:tcPr>
            <w:tcW w:type="dxa" w:w="1440"/>
          </w:tcPr>
          <w:p>
            <w:r>
              <w:rPr>
                <w:sz w:val="15"/>
              </w:rPr>
              <w:t>441</w:t>
            </w:r>
          </w:p>
        </w:tc>
        <w:tc>
          <w:tcPr>
            <w:tcW w:type="dxa" w:w="1440"/>
          </w:tcPr>
          <w:p>
            <w:r>
              <w:rPr>
                <w:sz w:val="15"/>
              </w:rPr>
              <w:t>35,733</w:t>
            </w:r>
          </w:p>
        </w:tc>
        <w:tc>
          <w:tcPr>
            <w:tcW w:type="dxa" w:w="1440"/>
          </w:tcPr>
          <w:p>
            <w:r>
              <w:rPr>
                <w:sz w:val="15"/>
              </w:rPr>
              <w:t>98.8</w:t>
            </w:r>
          </w:p>
        </w:tc>
      </w:tr>
      <w:tr>
        <w:tc>
          <w:tcPr>
            <w:tcW w:type="dxa" w:w="1440"/>
          </w:tcPr>
          <w:p>
            <w:r>
              <w:rPr>
                <w:sz w:val="15"/>
              </w:rPr>
              <w:t>2018</w:t>
            </w:r>
          </w:p>
        </w:tc>
        <w:tc>
          <w:tcPr>
            <w:tcW w:type="dxa" w:w="1440"/>
          </w:tcPr>
          <w:p>
            <w:r>
              <w:rPr>
                <w:sz w:val="15"/>
              </w:rPr>
              <w:t>30,473</w:t>
            </w:r>
          </w:p>
        </w:tc>
        <w:tc>
          <w:tcPr>
            <w:tcW w:type="dxa" w:w="1440"/>
          </w:tcPr>
          <w:p>
            <w:r>
              <w:rPr>
                <w:sz w:val="15"/>
              </w:rPr>
              <w:t>21,853</w:t>
            </w:r>
          </w:p>
        </w:tc>
        <w:tc>
          <w:tcPr>
            <w:tcW w:type="dxa" w:w="1440"/>
          </w:tcPr>
          <w:p>
            <w:r>
              <w:rPr>
                <w:sz w:val="15"/>
              </w:rPr>
              <w:t>295</w:t>
            </w:r>
          </w:p>
        </w:tc>
        <w:tc>
          <w:tcPr>
            <w:tcW w:type="dxa" w:w="1440"/>
          </w:tcPr>
          <w:p>
            <w:r>
              <w:rPr>
                <w:sz w:val="15"/>
              </w:rPr>
              <w:t>30,768</w:t>
            </w:r>
          </w:p>
        </w:tc>
        <w:tc>
          <w:tcPr>
            <w:tcW w:type="dxa" w:w="1440"/>
          </w:tcPr>
          <w:p>
            <w:r>
              <w:rPr>
                <w:sz w:val="15"/>
              </w:rPr>
              <w:t>99.0</w:t>
            </w:r>
          </w:p>
        </w:tc>
      </w:tr>
      <w:tr>
        <w:tc>
          <w:tcPr>
            <w:tcW w:type="dxa" w:w="1440"/>
          </w:tcPr>
          <w:p>
            <w:r>
              <w:rPr>
                <w:sz w:val="15"/>
              </w:rPr>
              <w:t>2019</w:t>
            </w:r>
          </w:p>
        </w:tc>
        <w:tc>
          <w:tcPr>
            <w:tcW w:type="dxa" w:w="1440"/>
          </w:tcPr>
          <w:p>
            <w:r>
              <w:rPr>
                <w:sz w:val="15"/>
              </w:rPr>
              <w:t>20,275</w:t>
            </w:r>
          </w:p>
        </w:tc>
        <w:tc>
          <w:tcPr>
            <w:tcW w:type="dxa" w:w="1440"/>
          </w:tcPr>
          <w:p>
            <w:r>
              <w:rPr>
                <w:sz w:val="15"/>
              </w:rPr>
              <w:t>14,354</w:t>
            </w:r>
          </w:p>
        </w:tc>
        <w:tc>
          <w:tcPr>
            <w:tcW w:type="dxa" w:w="1440"/>
          </w:tcPr>
          <w:p>
            <w:r>
              <w:rPr>
                <w:sz w:val="15"/>
              </w:rPr>
              <w:t>228</w:t>
            </w:r>
          </w:p>
        </w:tc>
        <w:tc>
          <w:tcPr>
            <w:tcW w:type="dxa" w:w="1440"/>
          </w:tcPr>
          <w:p>
            <w:r>
              <w:rPr>
                <w:sz w:val="15"/>
              </w:rPr>
              <w:t>20,503</w:t>
            </w:r>
          </w:p>
        </w:tc>
        <w:tc>
          <w:tcPr>
            <w:tcW w:type="dxa" w:w="1440"/>
          </w:tcPr>
          <w:p>
            <w:r>
              <w:rPr>
                <w:sz w:val="15"/>
              </w:rPr>
              <w:t>98.9</w:t>
            </w:r>
          </w:p>
        </w:tc>
      </w:tr>
      <w:tr>
        <w:tc>
          <w:tcPr>
            <w:tcW w:type="dxa" w:w="1440"/>
          </w:tcPr>
          <w:p>
            <w:r>
              <w:rPr>
                <w:sz w:val="15"/>
              </w:rPr>
              <w:t>2020</w:t>
            </w:r>
          </w:p>
        </w:tc>
        <w:tc>
          <w:tcPr>
            <w:tcW w:type="dxa" w:w="1440"/>
          </w:tcPr>
          <w:p>
            <w:r>
              <w:rPr>
                <w:sz w:val="15"/>
              </w:rPr>
              <w:t>15,052</w:t>
            </w:r>
          </w:p>
        </w:tc>
        <w:tc>
          <w:tcPr>
            <w:tcW w:type="dxa" w:w="1440"/>
          </w:tcPr>
          <w:p>
            <w:r>
              <w:rPr>
                <w:sz w:val="15"/>
              </w:rPr>
              <w:t>10,700</w:t>
            </w:r>
          </w:p>
        </w:tc>
        <w:tc>
          <w:tcPr>
            <w:tcW w:type="dxa" w:w="1440"/>
          </w:tcPr>
          <w:p>
            <w:r>
              <w:rPr>
                <w:sz w:val="15"/>
              </w:rPr>
              <w:t>167</w:t>
            </w:r>
          </w:p>
        </w:tc>
        <w:tc>
          <w:tcPr>
            <w:tcW w:type="dxa" w:w="1440"/>
          </w:tcPr>
          <w:p>
            <w:r>
              <w:rPr>
                <w:sz w:val="15"/>
              </w:rPr>
              <w:t>15,219</w:t>
            </w:r>
          </w:p>
        </w:tc>
        <w:tc>
          <w:tcPr>
            <w:tcW w:type="dxa" w:w="1440"/>
          </w:tcPr>
          <w:p>
            <w:r>
              <w:rPr>
                <w:sz w:val="15"/>
              </w:rPr>
              <w:t>98.9</w:t>
            </w:r>
          </w:p>
        </w:tc>
      </w:tr>
      <w:tr>
        <w:tc>
          <w:tcPr>
            <w:tcW w:type="dxa" w:w="1440"/>
          </w:tcPr>
          <w:p>
            <w:r>
              <w:rPr>
                <w:sz w:val="15"/>
              </w:rPr>
              <w:t>2021</w:t>
            </w:r>
          </w:p>
        </w:tc>
        <w:tc>
          <w:tcPr>
            <w:tcW w:type="dxa" w:w="1440"/>
          </w:tcPr>
          <w:p>
            <w:r>
              <w:rPr>
                <w:sz w:val="15"/>
              </w:rPr>
              <w:t>12,712</w:t>
            </w:r>
          </w:p>
        </w:tc>
        <w:tc>
          <w:tcPr>
            <w:tcW w:type="dxa" w:w="1440"/>
          </w:tcPr>
          <w:p>
            <w:r>
              <w:rPr>
                <w:sz w:val="15"/>
              </w:rPr>
              <w:t>9,027</w:t>
            </w:r>
          </w:p>
        </w:tc>
        <w:tc>
          <w:tcPr>
            <w:tcW w:type="dxa" w:w="1440"/>
          </w:tcPr>
          <w:p>
            <w:r>
              <w:rPr>
                <w:sz w:val="15"/>
              </w:rPr>
              <w:t>157</w:t>
            </w:r>
          </w:p>
        </w:tc>
        <w:tc>
          <w:tcPr>
            <w:tcW w:type="dxa" w:w="1440"/>
          </w:tcPr>
          <w:p>
            <w:r>
              <w:rPr>
                <w:sz w:val="15"/>
              </w:rPr>
              <w:t>12,868</w:t>
            </w:r>
          </w:p>
        </w:tc>
        <w:tc>
          <w:tcPr>
            <w:tcW w:type="dxa" w:w="1440"/>
          </w:tcPr>
          <w:p>
            <w:r>
              <w:rPr>
                <w:sz w:val="15"/>
              </w:rPr>
              <w:t>98.8</w:t>
            </w:r>
          </w:p>
        </w:tc>
      </w:tr>
      <w:tr>
        <w:tc>
          <w:tcPr>
            <w:tcW w:type="dxa" w:w="1440"/>
          </w:tcPr>
          <w:p>
            <w:r>
              <w:rPr>
                <w:sz w:val="15"/>
              </w:rPr>
              <w:t>2022</w:t>
            </w:r>
          </w:p>
        </w:tc>
        <w:tc>
          <w:tcPr>
            <w:tcW w:type="dxa" w:w="1440"/>
          </w:tcPr>
          <w:p>
            <w:r>
              <w:rPr>
                <w:sz w:val="15"/>
              </w:rPr>
              <w:t>9,799</w:t>
            </w:r>
          </w:p>
        </w:tc>
        <w:tc>
          <w:tcPr>
            <w:tcW w:type="dxa" w:w="1440"/>
          </w:tcPr>
          <w:p>
            <w:r>
              <w:rPr>
                <w:sz w:val="15"/>
              </w:rPr>
              <w:t>6,793</w:t>
            </w:r>
          </w:p>
        </w:tc>
        <w:tc>
          <w:tcPr>
            <w:tcW w:type="dxa" w:w="1440"/>
          </w:tcPr>
          <w:p>
            <w:r>
              <w:rPr>
                <w:sz w:val="15"/>
              </w:rPr>
              <w:t>147</w:t>
            </w:r>
          </w:p>
        </w:tc>
        <w:tc>
          <w:tcPr>
            <w:tcW w:type="dxa" w:w="1440"/>
          </w:tcPr>
          <w:p>
            <w:r>
              <w:rPr>
                <w:sz w:val="15"/>
              </w:rPr>
              <w:t>9,947</w:t>
            </w:r>
          </w:p>
        </w:tc>
        <w:tc>
          <w:tcPr>
            <w:tcW w:type="dxa" w:w="1440"/>
          </w:tcPr>
          <w:p>
            <w:r>
              <w:rPr>
                <w:sz w:val="15"/>
              </w:rPr>
              <w:t>98.5</w:t>
            </w:r>
          </w:p>
        </w:tc>
      </w:tr>
      <w:tr>
        <w:tc>
          <w:tcPr>
            <w:tcW w:type="dxa" w:w="1440"/>
          </w:tcPr>
          <w:p>
            <w:r>
              <w:rPr>
                <w:sz w:val="15"/>
              </w:rPr>
              <w:t>2023</w:t>
            </w:r>
          </w:p>
        </w:tc>
        <w:tc>
          <w:tcPr>
            <w:tcW w:type="dxa" w:w="1440"/>
          </w:tcPr>
          <w:p>
            <w:r>
              <w:rPr>
                <w:sz w:val="15"/>
              </w:rPr>
              <w:t>10,174</w:t>
            </w:r>
          </w:p>
        </w:tc>
        <w:tc>
          <w:tcPr>
            <w:tcW w:type="dxa" w:w="1440"/>
          </w:tcPr>
          <w:p>
            <w:r>
              <w:rPr>
                <w:sz w:val="15"/>
              </w:rPr>
              <w:t>6,423</w:t>
            </w:r>
          </w:p>
        </w:tc>
        <w:tc>
          <w:tcPr>
            <w:tcW w:type="dxa" w:w="1440"/>
          </w:tcPr>
          <w:p>
            <w:r>
              <w:rPr>
                <w:sz w:val="15"/>
              </w:rPr>
              <w:t>101</w:t>
            </w:r>
          </w:p>
        </w:tc>
        <w:tc>
          <w:tcPr>
            <w:tcW w:type="dxa" w:w="1440"/>
          </w:tcPr>
          <w:p>
            <w:r>
              <w:rPr>
                <w:sz w:val="15"/>
              </w:rPr>
              <w:t>10,275</w:t>
            </w:r>
          </w:p>
        </w:tc>
        <w:tc>
          <w:tcPr>
            <w:tcW w:type="dxa" w:w="1440"/>
          </w:tcPr>
          <w:p>
            <w:r>
              <w:rPr>
                <w:sz w:val="15"/>
              </w:rPr>
              <w:t>99.0</w:t>
            </w:r>
          </w:p>
        </w:tc>
      </w:tr>
    </w:tbl>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11</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2,4,5,6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13,14</w:t>
      </w:r>
      <w:r>
        <w:t>. Comparison with settings that lack such a scheme is instructive: among insured United States adults diagnosed in 2019-2020, only 23-35% started DAA treatment within a year, varying by payer</w:t>
      </w:r>
      <w:r>
        <w:rPr>
          <w:vertAlign w:val="superscript"/>
        </w:rPr>
        <w:t>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Data and code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1"/>
      </w:pPr>
      <w:r>
        <w:t>References</w:t>
      </w:r>
    </w:p>
    <w:p>
      <w:pPr>
        <w:ind w:left="432" w:hanging="432"/>
      </w:pPr>
      <w:r>
        <w:t>1. Tanaka M, Idei M, Sakaguchi H, Kato R, Sato D, Sawanobori K, et al. Evolving landscape of new drug approval in Japan and lags from international birth dates: retrospective regulatory analysis. Clin Pharmacol Ther. 2021;109(5):1265-1273. https://doi.org/10.1002/cpt.2080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https://doi.org/10.1111/hepr.13503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12 September 2026).</w:t>
      </w:r>
    </w:p>
    <w:p>
      <w:pPr>
        <w:ind w:left="432" w:hanging="432"/>
      </w:pPr>
      <w:r>
        <w:t>4. Kumada H, Suzuki Y, Ikeda K, Toyota J, Karino Y, Chayama K, et al. Daclatasvir plus asunaprevir for chronic HCV genotype 1b infection. Hepatology. 2014;59(6):2083-2091. https://doi.org/10.1002/hep.27113</w:t>
      </w:r>
    </w:p>
    <w:p>
      <w:pPr>
        <w:ind w:left="432" w:hanging="432"/>
      </w:pPr>
      <w:r>
        <w:t>5. Omata M, Nishiguchi S, Ueno Y, Mochizuki H, Izumi N, Ikeda F, et al. Sofosbuvir plus ribavirin in Japanese patients with chronic genotype 2 HCV infection: an open-label, phase 3 trial. J Viral Hepat. 2014;21(11):762-768. https://doi.org/10.1111/jvh.12312</w:t>
      </w:r>
    </w:p>
    <w:p>
      <w:pPr>
        <w:ind w:left="432" w:hanging="432"/>
      </w:pPr>
      <w:r>
        <w:t>6. Mizokami M, Yokosuka O, Takehara T, Sakamoto N, Korenaga M, Mochizuki H, et al. Ledipasvir and sofosbuvir fixed-dose combination with and without ribavirin for 12 weeks in treatment-naive and previously treated Japanese patients with genotype 1 hepatitis C: an open-label, randomised, phase 3 trial. Lancet Infect Dis. 2015;15(6):645-653. https://doi.org/10.1016/S1473-3099(15)70099-X</w:t>
      </w:r>
    </w:p>
    <w:p>
      <w:pPr>
        <w:ind w:left="432" w:hanging="432"/>
      </w:pPr>
      <w:r>
        <w:t>7. Ministry of Health, Labour and Welfare (Japan). NDB Open Data (1st-10th editions). https://www.mhlw.go.jp/stf/seisakunitsuite/bunya/0000177182.html (accessed 12 September 2026).</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12 September 2026).</w:t>
      </w:r>
    </w:p>
    <w:p>
      <w:pPr>
        <w:ind w:left="432" w:hanging="432"/>
      </w:pPr>
      <w:r>
        <w:t>9. Newey WK, West KD. A simple, positive semi-definite, heteroskedasticity and autocorrelation consistent covariance matrix. Econometrica. 1987;55(3):703-708. https://doi.org/10.2307/1913610</w:t>
      </w:r>
    </w:p>
    <w:p>
      <w:pPr>
        <w:ind w:left="432" w:hanging="432"/>
      </w:pPr>
      <w:r>
        <w:t>10. Efron B, Tibshirani RJ. An Introduction to the Bootstrap. New York: Chapman &amp; Hall; 1993.</w:t>
      </w:r>
    </w:p>
    <w:p>
      <w:pPr>
        <w:ind w:left="432" w:hanging="432"/>
      </w:pPr>
      <w:r>
        <w:t>11. Tanaka J, Akita T, Ohisa M, Sakamune K, Ko K, Uchida S, et al. Trends in the total numbers of HBV and HCV carriers in Japan from 2000 to 2011. J Viral Hepat. 2018;25(4):363-372. https://doi.org/10.1111/jvh.12828</w:t>
      </w:r>
    </w:p>
    <w:p>
      <w:pPr>
        <w:ind w:left="432" w:hanging="432"/>
      </w:pPr>
      <w:r>
        <w:t>12. Yamashita S, Kanda N, Hashimoto H, Yoshimoto H, Goda K, Mitsutake N, et al. Trends in the healthcare burden of hepatitis C after the introduction of direct-acting antivirals in Japan, 2013-2022: a national claims database study in Japan. Int J Infect Dis. 2025;160:108043. https://doi.org/10.1016/j.ijid.2025.108043</w:t>
      </w:r>
    </w:p>
    <w:p>
      <w:pPr>
        <w:ind w:left="432" w:hanging="432"/>
      </w:pPr>
      <w:r>
        <w:t>13.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12 September 2026).</w:t>
      </w:r>
    </w:p>
    <w:p>
      <w:pPr>
        <w:ind w:left="432" w:hanging="432"/>
      </w:pPr>
      <w:r>
        <w:t>14. Setoyama H, Tanaka Y, Kanto T. Seamless support from screening to anti-HCV treatment and HCC/decompensated cirrhosis: subsidy programs for HCV elimination. Glob Health Med. 2021;3(5):335-342. https://doi.org/10.35772/ghm.2021.01079</w:t>
      </w:r>
    </w:p>
    <w:p>
      <w:pPr>
        <w:ind w:left="432" w:hanging="432"/>
      </w:pPr>
      <w:r>
        <w:t>15. Thompson WW, Symum H, Sandul A, Gupta N, Patel P, Nelson N, et al. Vital signs: hepatitis C treatment among insured adults - United States, 2019-2020. MMWR Morb Mortal Wkly Rep. 2022;71(32):1011-1017. https://doi.org/10.15585/mmwr.mm7132e1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