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Nationwide transition from interferon-based to interferon-free hepatitis C therapy in Japan: a descriptive study of national claims open data</w:t>
      </w:r>
    </w:p>
    <w:p>
      <w:pPr>
        <w:spacing w:after="120"/>
      </w:pPr>
      <w:r>
        <w:rPr>
          <w:b/>
        </w:rPr>
        <w:t xml:space="preserve">Article type: </w:t>
      </w:r>
      <w:r>
        <w:t>Original Article</w:t>
      </w:r>
    </w:p>
    <w:p>
      <w:pPr>
        <w:spacing w:after="120"/>
      </w:pPr>
      <w:r>
        <w:rPr>
          <w:b/>
        </w:rPr>
        <w:t xml:space="preserve">Short title: </w:t>
      </w:r>
      <w:r>
        <w:t>Interferon-to-DAA transition in Japan</w:t>
      </w:r>
    </w:p>
    <w:p>
      <w:pPr>
        <w:spacing w:after="120"/>
      </w:pPr>
      <w:r>
        <w:rPr>
          <w:b/>
        </w:rPr>
        <w:t xml:space="preserve">Authors: </w:t>
      </w:r>
      <w:r>
        <w:t>[To be completed by the authors; given name(s) and family name(s), with affiliation letters as superscripts; first author ORCID iD linked in the submission system]</w:t>
      </w:r>
    </w:p>
    <w:p>
      <w:pPr>
        <w:spacing w:after="120"/>
      </w:pPr>
      <w:r>
        <w:rPr>
          <w:b/>
        </w:rPr>
        <w:t xml:space="preserve">Affiliations: </w:t>
      </w:r>
      <w:r>
        <w:t>[To be completed by the authors; full postal address including country for each affiliation]</w:t>
      </w:r>
    </w:p>
    <w:p>
      <w:pPr>
        <w:spacing w:after="120"/>
      </w:pPr>
      <w:r>
        <w:rPr>
          <w:b/>
        </w:rPr>
        <w:t xml:space="preserve">Corresponding author: </w:t>
      </w:r>
      <w:r>
        <w:t>[Name], [Affiliation], [Full postal address including country], Tel: [telephone], Email: [email]</w:t>
      </w:r>
    </w:p>
    <w:p>
      <w:pPr>
        <w:spacing w:after="120"/>
      </w:pPr>
      <w:r>
        <w:rPr>
          <w:b/>
        </w:rPr>
        <w:t xml:space="preserve">Word count: </w:t>
      </w:r>
      <w:r>
        <w:t>Abstract: 211 words; main text: 2861 words (Introduction to Discussion)</w:t>
      </w:r>
    </w:p>
    <w:p>
      <w:pPr>
        <w:spacing w:after="120"/>
      </w:pPr>
      <w:r>
        <w:rPr>
          <w:b/>
        </w:rPr>
        <w:t xml:space="preserve">Numbers of tables, figures, and supplementary materials: </w:t>
      </w:r>
      <w:r>
        <w:t>3 tables, 3 figures, 1 supplementary file (completed STROBE checklist)</w:t>
      </w:r>
    </w:p>
    <w:p>
      <w:pPr>
        <w:sectPr>
          <w:headerReference w:type="default" r:id="rId9"/>
          <w:pgSz w:w="12240" w:h="15840"/>
          <w:pgMar w:top="1417" w:right="1417" w:bottom="1417" w:left="1417" w:header="720" w:footer="720" w:gutter="0"/>
          <w:cols w:space="720"/>
          <w:docGrid w:linePitch="360"/>
        </w:sectPr>
      </w:pPr>
    </w:p>
    <w:p>
      <w:pPr>
        <w:pStyle w:val="Heading1"/>
      </w:pPr>
      <w:r>
        <w:t>Abstract</w:t>
      </w:r>
    </w:p>
    <w:p>
      <w:r>
        <w:rPr>
          <w:b/>
        </w:rPr>
        <w:t xml:space="preserve">Background: </w:t>
      </w:r>
      <w:r>
        <w:t xml:space="preserve">How quickly a national population leaves an established treatment once a better option is approved and reimbursed is rarely measured from routine data. Using Japan's national claims open data, we described the countrywide transition from interferon-based to interferon-free hepatitis C therapy. </w:t>
      </w:r>
      <w:r>
        <w:rPr>
          <w:b/>
        </w:rPr>
        <w:t xml:space="preserve">Methods: </w:t>
      </w:r>
      <w:r>
        <w:t xml:space="preserve">From the National Database of Health Insurance Claims and Specific Health Checkups of Japan (NDB) Open Data (fiscal years 2014-2023), we extracted national dispensed quantities of peginterferon, first-generation protease inhibitors given with peginterferon, conventional interferon, ribavirin, and nine interferon-free direct-acting antiviral products, respecting the database's publication thresholds. Quantities were converted to estimated treatment courses using documented regimen durations and described with segmented log-linear and exponential trend models. </w:t>
      </w:r>
      <w:r>
        <w:rPr>
          <w:b/>
        </w:rPr>
        <w:t xml:space="preserve">Results: </w:t>
      </w:r>
      <w:r>
        <w:t xml:space="preserve">Peginterferon dispensing fell 99.2% from fiscal year 2014 to 2023 (36% per year, 95% confidence interval 24-47%). Estimated total treatment volume rose from 26,307 to a fiscal year 2015 peak of 92,589 courses, then fell 88.9% to 10,275 by fiscal year 2023; the interferon-free share of estimated courses moved from 50.9% to 97.0% within one fiscal year. </w:t>
      </w:r>
      <w:r>
        <w:rPr>
          <w:b/>
        </w:rPr>
        <w:t xml:space="preserve">Conclusions: </w:t>
      </w:r>
      <w:r>
        <w:t>National hepatitis C treatment switched almost entirely to interferon-free regimens within a year of reimbursement, and total volume surged then declined as the prevalent pool was treated. National open claims data can measure such transitions, provided their publication rules are handled explicitly.</w:t>
      </w:r>
    </w:p>
    <w:p>
      <w:pPr>
        <w:spacing w:after="240"/>
      </w:pPr>
      <w:r>
        <w:rPr>
          <w:b/>
        </w:rPr>
        <w:t xml:space="preserve">Keywords: </w:t>
      </w:r>
      <w:r>
        <w:t>hepatitis C; antiviral agents; interferons; drug utilization; Japan</w:t>
      </w:r>
    </w:p>
    <w:p>
      <w:pPr>
        <w:pStyle w:val="Heading1"/>
      </w:pPr>
      <w:r>
        <w:t>Introduction</w:t>
      </w:r>
    </w:p>
    <w:p>
      <w:r>
        <w:t>National claims databases have become a standard instrument of descriptive epidemiology for following how medical care is actually delivered</w:t>
      </w:r>
      <w:r>
        <w:rPr>
          <w:vertAlign w:val="superscript"/>
        </w:rPr>
        <w:t>1</w:t>
      </w:r>
      <w:r>
        <w:t>, and Japan's National Database of Health Insurance Claims and Specific Health Checkups of Japan (NDB) Open Data release puts part of that instrument in the public domain: annual, nationwide dispensed quantities of prescription drugs by sex- and age-stratified table. Using it for epidemiology means accepting its publication rules as part of the measurement instrument—each table lists only the highest-ranked products of a therapeutic class and masks cells below a fixed threshold—so series built from it are bounded rather than exact, and the rules can be used to derive explicit bounds</w:t>
      </w:r>
      <w:r>
        <w:rPr>
          <w:vertAlign w:val="superscript"/>
        </w:rPr>
        <w:t>1</w:t>
      </w:r>
      <w:r>
        <w:t>. Whether such data can capture a population-level treatment transition is a methodological question worth answering on a transition that actually happened.</w:t>
      </w:r>
    </w:p>
    <w:p>
      <w:r>
        <w:t>Chronic hepatitis C provides such a transition. Until 2014, treatment in Japan was built around interferon, given for 24-48 weeks with ribavirin and, from 2011, with a first-generation non-structural protein 3/4A (NS3/4A) protease inhibitor; it was poorly tolerated and did not cure everyone</w:t>
      </w:r>
      <w:r>
        <w:rPr>
          <w:vertAlign w:val="superscript"/>
        </w:rPr>
        <w:t>2</w:t>
      </w:r>
      <w:r>
        <w:t>. Interferon-free all-oral regimens then arrived in quick succession: daclatasvir plus asunaprevir, approved in July 2014, was the first regimen worldwide to dispense with both interferon and ribavirin</w:t>
      </w:r>
      <w:r>
        <w:rPr>
          <w:vertAlign w:val="superscript"/>
        </w:rPr>
        <w:t>3,4</w:t>
      </w:r>
      <w:r>
        <w:t>, followed by sofosbuvir-based and pangenotypic regimens with cure rates above 90% and treatment durations of 8-12 weeks</w:t>
      </w:r>
      <w:r>
        <w:rPr>
          <w:vertAlign w:val="superscript"/>
        </w:rPr>
        <w:t>5,6</w:t>
      </w:r>
      <w:r>
        <w:t>. Japan combines universal health insurance with publicly funded hepatitis testing and a national subsidy program that caps out-of-pocket payments for antiviral therapy, and each direct-acting antiviral (DAA) was listed on National Health Insurance (NHI) within months of approval and brought into the subsidy program as it was listed</w:t>
      </w:r>
      <w:r>
        <w:rPr>
          <w:vertAlign w:val="superscript"/>
        </w:rPr>
        <w:t>7-9</w:t>
      </w:r>
      <w:r>
        <w:t>.</w:t>
      </w:r>
    </w:p>
    <w:p>
      <w:r>
        <w:t>Once such a therapy is approved and reimbursed, two population-level trajectories are possible. Use of the prior standard may fall steeply—if it was being used for want of an alternative—and total treatment volume may surge as the diagnosed prevalent pool is treated, then decline toward the flow of new diagnoses; alternatively, practical friction in referral pathways, treatment capacity, or clinical caution would slow both. Distinguishing between them matters because the shape of the trajectory determines how much treatment capacity a program must mobilize and how soon its binding constraint shifts from treatment to case-finding. Japan has historically approved new drugs later than the United States or Europe</w:t>
      </w:r>
      <w:r>
        <w:rPr>
          <w:vertAlign w:val="superscript"/>
        </w:rPr>
        <w:t>10</w:t>
      </w:r>
      <w:r>
        <w:t>, which makes the speed of this switch additionally informative. We therefore used NDB Open Data (fiscal years 2014-2023) to describe how national dispensing of interferon-based therapy and of interferon-free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vertAlign w:val="superscript"/>
        </w:rPr>
        <w:t>1</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Of 391 extracted rows, 105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vertAlign w:val="superscript"/>
        </w:rPr>
        <w:t>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3,9</w:t>
      </w:r>
      <w:r>
        <w:t>. No measure of news or social-media coverage, or of patient or prescriber exposure to it, was available, so media effects were not included as an exposure in this study.</w:t>
      </w:r>
    </w:p>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11</w:t>
      </w:r>
      <w:r>
        <w:t>, cross-checked against a residual bootstrap (10,000 resamples)</w:t>
      </w:r>
      <w:r>
        <w:rPr>
          <w:vertAlign w:val="superscript"/>
        </w:rPr>
        <w:t>12</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published units in FY2014 to below the publication threshold in every table from FY2016 onward (at most 187,965 units in FY2023).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shared by older and newer regimens, fell from 10,166,159 units in FY2014 to 3,124 published units in FY2018 and was below the publication threshold in every table from FY2020 onward (at most 62,561 units in FY2023). The FY2018-FY2019 values come only from tables in which ribavirin remained listed, and their year-on-year movement lies within what the unlisted tables could conceal, so it is not interpreted. Fitted over the fiscal years with published dispensing (FY2014-FY2019), its decline was 76% per year (95% CI 60-85%). Because ribavirin was used with peginterferon and with interferon-free sofosbuvir, this rate describes the combined retreat of both regimens and is not evidence about interferon-based therapy alone.</w:t>
      </w:r>
    </w:p>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Because some later low-volume cells are unpublished, the observed decline is an upper limit: in the upper-bound series (unpublished cells at most 34% of the published DAA total in any year), the peak-to-FY2023 fall is 90% and the post-peak decline 21.9% per year (95% CI 17.4-26.1%). The pre-peak segment corresponds to 71% per year but rests on only 2 observations, and its bootstrap interval (-8.6% to 166.8%) includes zero; it is a single year-on-year increment rather than an estimated trend and we do not interpret it as a rate.</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had fallen to negligible levels or below the publication threshold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vertAlign w:val="superscript"/>
        </w:rPr>
        <w:t>13</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vertAlign w:val="superscript"/>
        </w:rPr>
        <w:t>14</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vertAlign w:val="superscript"/>
        </w:rPr>
        <w:t>2,4-6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8,15</w:t>
      </w:r>
      <w:r>
        <w:t>. Comparison with settings that lack such a scheme is instructive: among insured United States adults diagnosed in 2019-2020, only 23-35% started DAA treatment within a year, varying by payer</w:t>
      </w:r>
      <w:r>
        <w:rPr>
          <w:vertAlign w:val="superscript"/>
        </w:rPr>
        <w:t>16</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r>
        <w:t>The episode also illustrates what national open claims data can and cannot measure. The NDB Open Data release is complete in coverage—the underlying database captures essentially all insurance claims in Japan—but deliberately partial in publication: each table lists only the highest-ranked products of a class and shows small cells as a dash</w:t>
      </w:r>
      <w:r>
        <w:rPr>
          <w:vertAlign w:val="superscript"/>
        </w:rPr>
        <w:t>1</w:t>
      </w:r>
      <w:r>
        <w:t>. The dominant features of this transition (the collapse of interferon-based therapy, the surge in DAA dispensing, and the subsequent decline) involve quantities far above the threshold, so they survive those rules intact; the rules mattered only at the margins, where we treated unpublished cells as zero in the primary series and bounded them in the upper-bound sensitivity series, which moved the post-peak decline by less than 3.3 percentage points per year and changed no qualitative conclusion. The same construction—extracting complete products, flagging masked cells, and publishing bounds rather than point values—is applicable to any drug class tracked through the same data release, and makes the analysis reproducible end to end from public sources. The limits are equally instructive: dispensed quantity is not a patient count, annual resolution hides within-year timing around a listing date, and without individual-level linkage the data cannot show who started treatment, who deferred it, or why.</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the tail of a declining drug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24.7% to 21.4% per year and the interferon-free share by less than 0.1 percentage points, and alter neither the peak year nor the direction of any trend, because the large early quantities that carry the main findings lie far above the threshold.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r>
        <w:t>In conclusion, national dispensing data show that hepatitis C treatment in Japan moved almost entirely from interferon-based to interferon-free regimens within one fiscal year of the first interferon-free listing, and that total estimated treatment volume surged then declined as the diagnosed prevalent pool was treated. For health systems and for researchers using the same open data, the episode demonstrates both what prompt listing plus subsidy can achieve and how much of that trajectory can be measured despite the NDB publication thresholds. Whether the same speed is attainable for other therapies, or in systems without comparable coverage and subsidy, cannot be inferred from these data.</w:t>
      </w:r>
    </w:p>
    <w:p>
      <w:pPr>
        <w:pStyle w:val="Heading1"/>
      </w:pPr>
      <w:r>
        <w:t>Acknowledgments</w:t>
      </w:r>
    </w:p>
    <w:p>
      <w:r>
        <w:t>Funding: This research did not receive any specific grant from funding agencies in the public, commercial, or not-for-profit sectors. During the preparation of this manuscript the authors used ChatGPT/GPT-4 for language editing and formatting assistance; after using this tool, the authors reviewed and edited the content and take full responsibility for the final manuscript.</w:t>
      </w:r>
    </w:p>
    <w:p>
      <w:r>
        <w:rPr>
          <w:b/>
        </w:rPr>
        <w:t xml:space="preserve">Ethics approval. </w:t>
      </w:r>
      <w:r>
        <w:t>This study used only publicly available, aggregated national open data and involved no individual-level or identifiable information; ethics-committee approval was therefore not required.</w:t>
      </w:r>
    </w:p>
    <w:p>
      <w:r>
        <w:rPr>
          <w:b/>
        </w:rPr>
        <w:t xml:space="preserve">Conflicts of interest. </w:t>
      </w:r>
      <w:r>
        <w:t>The authors declare they have no conflict of interest with respect to this research study and paper.</w:t>
      </w:r>
    </w:p>
    <w:p>
      <w:pPr>
        <w:pStyle w:val="Heading1"/>
      </w:pPr>
      <w:r>
        <w:t>Data Availability</w:t>
      </w:r>
    </w:p>
    <w:p>
      <w:r>
        <w:t>Data derived from a source in the public domain: the raw NDB Open Data workbooks are published by the Ministry of Health, Labour and Welfare and can be re-downloaded with the provided script (scripts/download_ndb.py). All analysis code, derived datasets, and the figure and manuscript generators are openly available at https://github.com/bougtoir/ndb-dea-drug-lag, so the full pipeline (download, build, analyze, figures, manuscript) reproduces every reported number, figure, and table from the public data.</w:t>
      </w:r>
    </w:p>
    <w:p>
      <w:pPr>
        <w:sectPr>
          <w:pgSz w:w="12240" w:h="15840"/>
          <w:pgMar w:top="1417" w:right="1417" w:bottom="1417" w:left="1417" w:header="720" w:footer="720" w:gutter="0"/>
          <w:cols w:space="720"/>
          <w:docGrid w:linePitch="360"/>
          <w:lnNumType w:countBy="1" w:start="1" w:restart="continuous"/>
        </w:sectPr>
      </w:pPr>
    </w:p>
    <w:p>
      <w:pPr>
        <w:pStyle w:val="Heading1"/>
      </w:pPr>
      <w:r>
        <w:t>References</w:t>
      </w:r>
    </w:p>
    <w:p>
      <w:pPr>
        <w:ind w:left="432" w:hanging="432"/>
      </w:pPr>
      <w:r>
        <w:t>1. Ministry of Health, Labour and Welfare (Japan). NDB Open Data (1st-10th editions). https://www.mhlw.go.jp/stf/seisakunitsuite/bunya/0000177182.html. Accessed September 21, 2026.</w:t>
      </w:r>
    </w:p>
    <w:p>
      <w:pPr>
        <w:ind w:left="432" w:hanging="432"/>
      </w:pPr>
      <w:r>
        <w:t>2.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21, 2026.</w:t>
      </w:r>
    </w:p>
    <w:p>
      <w:pPr>
        <w:ind w:left="432" w:hanging="432"/>
      </w:pPr>
      <w:r>
        <w:t>4. Kumada H, Suzuki Y, Ikeda K, et al. Daclatasvir plus asunaprevir for chronic HCV genotype 1b infection. Hepatology. 2014;59(6):2083-2091. doi:10.1002/hep.27113</w:t>
      </w:r>
    </w:p>
    <w:p>
      <w:pPr>
        <w:ind w:left="432" w:hanging="432"/>
      </w:pPr>
      <w:r>
        <w:t>5. Omata M, Nishiguchi S, Ueno Y, et al. Sofosbuvir plus ribavirin in Japanese patients with chronic genotype 2 HCV infection: an open-label, phase 3 trial. J Viral Hepat. 2014;21(11):762-768. doi:10.1111/jvh.12312</w:t>
      </w:r>
    </w:p>
    <w:p>
      <w:pPr>
        <w:ind w:left="432" w:hanging="432"/>
      </w:pPr>
      <w:r>
        <w:t>6.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7. Tanaka J, Akita T, Ko K, Miura Y, Satake M; Epidemiological Research Group on Viral Hepatitis and its Long-term Course, Ministry of Health, Labour and Welfare of Japan. Countermeasures against viral hepatitis B and C in Japan: an epidemiological point of view. Hepatol Res. 2019;49(9):990-1002. doi:10.1111/hepr.13417</w:t>
      </w:r>
    </w:p>
    <w:p>
      <w:pPr>
        <w:ind w:left="432" w:hanging="432"/>
      </w:pPr>
      <w:r>
        <w:t>8.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21, 2026.</w:t>
      </w:r>
    </w:p>
    <w:p>
      <w:pPr>
        <w:ind w:left="432" w:hanging="432"/>
      </w:pPr>
      <w:r>
        <w:t>9.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September 21, 2026.</w:t>
      </w:r>
    </w:p>
    <w:p>
      <w:pPr>
        <w:ind w:left="432" w:hanging="432"/>
      </w:pPr>
      <w:r>
        <w:t>10. Tanaka M, Idei M, Sakaguchi H, et al. Evolving landscape of new drug approval in Japan and lags from international birth dates: retrospective regulatory analysis. Clin Pharmacol Ther. 2021;109(5):1265-1273. doi:10.1002/cpt.2080</w:t>
      </w:r>
    </w:p>
    <w:p>
      <w:pPr>
        <w:ind w:left="432" w:hanging="432"/>
      </w:pPr>
      <w:r>
        <w:t>11. Newey WK, West KD. A simple, positive semi-definite, heteroskedasticity and autocorrelation consistent covariance matrix. Econometrica. 1987;55(3):703-708. doi:10.2307/1913610</w:t>
      </w:r>
    </w:p>
    <w:p>
      <w:pPr>
        <w:ind w:left="432" w:hanging="432"/>
      </w:pPr>
      <w:r>
        <w:t>12. Efron B, Tibshirani RJ. An Introduction to the Bootstrap. New York: Chapman &amp; Hall; 1993.</w:t>
      </w:r>
    </w:p>
    <w:p>
      <w:pPr>
        <w:ind w:left="432" w:hanging="432"/>
      </w:pPr>
      <w:r>
        <w:t>13. Tanaka J, Akita T, Ohisa M, et al. Trends in the total numbers of HBV and HCV carriers in Japan from 2000 to 2011. J Viral Hepat. 2018;25(4):363-372. doi:10.1111/jvh.12828</w:t>
      </w:r>
    </w:p>
    <w:p>
      <w:pPr>
        <w:ind w:left="432" w:hanging="432"/>
      </w:pPr>
      <w:r>
        <w:t>14.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15. Setoyama H, Tanaka Y, Kanto T. Seamless support from screening to anti-HCV treatment and HCC/decompensated cirrhosis: subsidy programs for HCV elimination. Glob Health Med. 2021;3(5):335-342. doi:10.35772/ghm.2021.01079</w:t>
      </w:r>
    </w:p>
    <w:p>
      <w:pPr>
        <w:ind w:left="432" w:hanging="432"/>
      </w:pPr>
      <w:r>
        <w:t>16. Thompson WW, Symum H, Sandul A, et al. Vital signs: hepatitis C treatment among insured adults - United States, 2019-2020. MMWR Morb Mortal Wkly Rep. 2022;71(32):1011-1017. doi:10.15585/mmwr.mm7132e1</w:t>
      </w:r>
    </w:p>
    <w:p>
      <w:r>
        <w:br w:type="page"/>
      </w:r>
    </w:p>
    <w:p>
      <w:pPr>
        <w:pStyle w:val="Heading1"/>
      </w:pPr>
      <w:r>
        <w:t>Tables</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br w:type="page"/>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bl>
    <w:p>
      <w:r>
        <w:br w:type="page"/>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bl>
    <w:p>
      <w:r>
        <w:br w:type="page"/>
      </w:r>
    </w:p>
    <w:p>
      <w:pPr>
        <w:pStyle w:val="Heading1"/>
      </w:pPr>
      <w:r>
        <w:t>Figure Legends</w:t>
      </w:r>
    </w:p>
    <w:p>
      <w: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 Quantities are the published NDB totals; a series reaching zero means the drug fell below the NDB publication threshold in every table, not that dispensing ceased. DAA, direct-acting antiviral; FY, fiscal year; NDB, National Database of Health Insurance Claims and Specific Health Checkups of Japan; NHI, National Health Insurance.</w:t>
      </w:r>
    </w:p>
    <w:p>
      <w:r>
        <w:t>Figure 2. Interferon-free DAA dispensed quantity by product, fiscal years 2014-2023. Elbasvir and grazoprevir are shown separately because the NDB product files list the co-packaged components individually; ombitasvir/paritaprevir/ritonavir is a single co-formulated product. Products absent in a given year were below the NDB publication threshold in every table; the published totals are lower bounds. DAA, direct-acting antiviral; NDB, National Database of Health Insurance Claims and Specific Health Checkups of Japan.</w:t>
      </w:r>
    </w:p>
    <w:p>
      <w:r>
        <w:t>Figure 3. Estimated national hepatitis C antiviral treatment volume (interferon-free DAA courses plus peginterferon courses) and the DAA share of it. Ribavirin is excluded because it accompanied both interferon-based and interferon-free regimens. DAA, direct-acting antiviral.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