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[Author name]</w:t>
      </w:r>
    </w:p>
    <w:p>
      <w:r>
        <w:t>[Affiliation]</w:t>
      </w:r>
    </w:p>
    <w:p>
      <w:r>
        <w:t>[Address]</w:t>
      </w:r>
    </w:p>
    <w:p>
      <w:r>
        <w:t>[Email]</w:t>
      </w:r>
    </w:p>
    <w:p/>
    <w:p>
      <w:r>
        <w:t>[Date]</w:t>
      </w:r>
    </w:p>
    <w:p/>
    <w:p>
      <w:r>
        <w:t>The Editor-in-Chief</w:t>
      </w:r>
    </w:p>
    <w:p>
      <w:r>
        <w:t>Hepatology International</w:t>
      </w:r>
    </w:p>
    <w:p/>
    <w:p>
      <w:r>
        <w:t>Dear Editor,</w:t>
      </w:r>
    </w:p>
    <w:p>
      <w:r>
        <w:t>Please consider our manuscript, “Rapid nationwide transition from interferon-based to interferon-free hepatitis C therapy in Japan: treatment dynamics after reimbursement and their relevance to Asia-Pacific elimination programs,” for publication as an Original Article in Hepatology International.</w:t>
      </w:r>
    </w:p>
    <w:p>
      <w:r>
        <w:t>The manuscript contains an abstract of 234 words, a main text of 3332 words, and 23 references. All authors have approved the submission and declare no conflicts of interest.</w:t>
      </w:r>
    </w:p>
    <w:p>
      <w:r>
        <w:t>Approval and reimbursement of a new therapy are recorded to the day, but how quickly an entire population actually moves away from the therapy it replaces is rarely measured. Hepatitis C offers an unusually clear setting: interferon-free direct-acting antivirals (DAAs) were approved and covered by National Health Insurance in Japan in 2014-2015 and took over from an interferon-based standard that had been in place for years.</w:t>
      </w:r>
    </w:p>
    <w:p>
      <w:r>
        <w:t>Using Japan’s NDB Open Data (fiscal years 2014–2024), we tracked national dispensed quantities of interferon-based therapy and of interferon-free DAAs against dated approval and reimbursement milestones, and converted quantities to estimated treatment courses so that a weekly injection and an 8-week tablet regimen could be compared on one scale. Peginterferon dispensing fell 99.3% and the protease inhibitors given with it disappeared from FY2016, while interferon-free regimens reached 97.0% of estimated treatment courses within one fiscal year of the first interferon-free listing. Estimated total treatment volume peaked in FY2015 and then fell 91.4%, a pattern consistent with progressive treatment of a prevalent population. We report these as descriptive national trends with uncertainty intervals, discuss the subsidy program and other plausible contributors, and state explicitly that dispensed quantity is not a patient count and that no measure of media coverage or of individual treatment decisions entered the analysis.</w:t>
      </w:r>
    </w:p>
    <w:p>
      <w:r>
        <w:t>We believe the work is suited to Hepatology International and its Asia-Pacific readership. Prior national work has quantified how many people in Japan were treated with DAAs, at what cost, and where (for example, Suoh and colleagues' socioeconomic evaluation for 2014-2023). The present study addresses a complementary question that no prior national study has quantified: the dynamic replacement of an incumbent treatment standard by a new one. By placing interferon-based therapy and interferon-free DAAs on a common course-equivalent scale built from national open dispensing data, it shows an almost complete switch within one fiscal year of the first interferon-free listing, a surge in total estimated treatment volume, and a subsequent decline consistent with progressive treatment of the diagnosed prevalent pool. For elimination programs in the region the trajectory is a planning template: after such a switch the principal programmatic constraint may shift from treatment delivery toward case-finding and linkage to care, while the manuscript states clearly what aggregate dispensing data cannot show. The analysis is fully reproducible: all code and derived data are openly available at https://github.com/bougtoir/ndb-dea-drug-lag, and the raw NDB Open Data are re-downloadable from the Ministry of Health, Labour and Welfare, so every reported number, figure, and table can be regenerated from the public data. The structured abstract, graphical abstract, ten keywords, tables, figures, and a completed STROBE checklist are included as required.</w:t>
      </w:r>
    </w:p>
    <w:p>
      <w:r>
        <w:t>This manuscript is original, has not been published previously, and is not under consideration elsewhere. All authors have approved the submission, contributed substantially to the study design, data interpretation, and manuscript preparation, and declare no conflicts of interest. The study used only publicly available, aggregated data with no individual-level information, so ethics-committee approval and informed consent were not required.</w:t>
      </w:r>
    </w:p>
    <w:p>
      <w:r>
        <w:rPr>
          <w:b/>
        </w:rPr>
        <w:t xml:space="preserve">Author contributions. </w:t>
      </w:r>
      <w:r>
        <w:t>[To be completed by the authors, per the ICMJE criteria. Example: T.O. conceived the study, designed the analysis, and drafted the manuscript; X.Y. curated the data and reviewed the analysis; Z.W. reviewed and edited the manuscript. All authors read and approved the final version.]</w:t>
      </w:r>
    </w:p>
    <w:p>
      <w:r>
        <w:t>Thank you for considering our work.</w:t>
      </w:r>
    </w:p>
    <w:p/>
    <w:p>
      <w:r>
        <w:t>Sincerely,</w:t>
      </w:r>
    </w:p>
    <w:p>
      <w:r>
        <w:t>[Corresponding author name, on behalf of all authors]</w:t>
      </w:r>
    </w:p>
    <w:p/>
    <w:p>
      <w:r>
        <w:rPr>
          <w:b/>
        </w:rPr>
        <w:t xml:space="preserve">Suggested reviewers. </w:t>
      </w:r>
      <w:r>
        <w:t>[Three potential referees with names, affiliations, and email addresses to be added by the authors, per the journal's Instructions for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