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Journal of Epidemiology</w:t>
      </w:r>
    </w:p>
    <w:p/>
    <w:p>
      <w:r>
        <w:t>Dear Editor,</w:t>
      </w:r>
    </w:p>
    <w:p>
      <w:r>
        <w:t>Please consider our manuscript, “Nationwide transition from interferon-based to interferon-free hepatitis C therapy in Japan: a descriptive study of national claims open data,” for publication as an Original Article in Journal of Epidemiology.</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2014–2023),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99.2% and the protease inhibitors given with it disappeared from FY2016, while interferon-free regimens reached 97.0% of estimated treatment courses within one fiscal year of the first interferon-free listing. Estimated total treatment volume peaked in FY2015 and then fell 88.9%, the shape expected when a curative therapy works through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is suited to the Journal of Epidemiology. The manuscript is a descriptive epidemiological study of a national treatment transition built entirely from Japan's public claims open data, and it shows both what such data can measure—how fast a population leaves an established therapy once a better option is reimbursed, and how total volume evolves as the prevalent pool is treated—and how their publication rules (top-ranked listing and small-cell masking) should be handled.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Figures are supplied as separate files with their source files, tables are editable text, continuous line numbers run from the abstract through the acknowledgments, and a completed STROBE checklist with page numbers is provided as a supplementary file.</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