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Journal of Viral Hepatitis</w:t>
      </w:r>
    </w:p>
    <w:p/>
    <w:p>
      <w:r>
        <w:t>Dear Editor,</w:t>
      </w:r>
    </w:p>
    <w:p>
      <w:r>
        <w:t>Please consider our manuscript, “Rapid Population-Level Displacement of Interferon-Based Hepatitis C Therapy by Interferon-Free Direct-Acting Antivirals in Japan,” for publication as an Original Article in Journal of Viral Hepatitis.</w:t>
      </w:r>
    </w:p>
    <w:p>
      <w:r>
        <w:t>The manuscript contains an abstract of 246 words, a main text of 2246 words, and 15 references. All authors have approved the submission and declare no conflicts of interest.</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Journal of Viral Hepatitis. Japan's rapid, nationwide displacement of interferon-based by interferon-free hepatitis C therapy offers a contemporary example of how quickly a national population can transition to a curative DAA regimen once it is approved and reimbursed, a question directly relevant to viral hepatitis treatment policy and elimination planning.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Figures are supplied as separate high-resolution files per the journal's Instructions for Authors.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