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How quickly did interferon-based therapy for hepatitis C give way to interferon-free direct-acting antivirals? A national dispensing analysis of Japan's NDB Open Data, fiscal years 2014-2023</w:t>
      </w:r>
    </w:p>
    <w:p>
      <w:r>
        <w:rPr>
          <w:b/>
        </w:rPr>
        <w:t xml:space="preserve">Article type: </w:t>
      </w:r>
      <w:r>
        <w:t>Original Report (observational, national open-data study)</w:t>
      </w:r>
    </w:p>
    <w:p>
      <w:r>
        <w:rPr>
          <w:b/>
        </w:rPr>
        <w:t xml:space="preserve">Running head: </w:t>
      </w:r>
      <w:r>
        <w:t>Speed of the interferon-to-DAA switch in Japan</w:t>
      </w:r>
    </w:p>
    <w:p>
      <w:r>
        <w:rPr>
          <w:b/>
        </w:rPr>
        <w:t xml:space="preserve">Corresponding author: </w:t>
      </w:r>
      <w:r>
        <w:t>[Name], [Affiliation], [Address], [Email]</w:t>
      </w:r>
    </w:p>
    <w:p>
      <w:r>
        <w:rPr>
          <w:b/>
        </w:rPr>
        <w:t xml:space="preserve">Authors / affiliations: </w:t>
      </w:r>
      <w:r>
        <w:t>[To be completed by the authors]</w:t>
      </w:r>
    </w:p>
    <w:p>
      <w:pPr>
        <w:pStyle w:val="Heading1"/>
      </w:pPr>
      <w:r>
        <w:t>Abstract</w:t>
      </w:r>
    </w:p>
    <w:p>
      <w:r>
        <w:rPr>
          <w:b/>
        </w:rPr>
        <w:t xml:space="preserve">Background/Objectives: </w:t>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t xml:space="preserve">Methods: </w:t>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t xml:space="preserve">Results: </w:t>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t xml:space="preserve">Conclusions: </w:t>
      </w:r>
      <w:r>
        <w:t>National hepatitis C treatment switched almost entirely to interferon-free regimens within a year of reimbursement, with a surge and decline in total volume of the kind expected when a curative therapy works through a prevalent pool.</w:t>
      </w:r>
    </w:p>
    <w:p>
      <w:r>
        <w:rPr>
          <w:b/>
        </w:rPr>
        <w:t xml:space="preserve">Keywords: </w:t>
      </w:r>
      <w:r>
        <w:t>hepatitis C; direct-acting antivirals; interferon; pharmacoepidemiology; prescription trends; drug utilization; NDB Open Data; Japan</w:t>
      </w:r>
    </w:p>
    <w:p>
      <w:pPr>
        <w:pStyle w:val="Heading2"/>
      </w:pPr>
      <w:r>
        <w:t>Key Points</w:t>
      </w:r>
    </w:p>
    <w:p>
      <w:pPr>
        <w:pStyle w:val="ListBullet"/>
      </w:pPr>
      <w:r>
        <w:t>National drug-utilization open data can show how quickly a population leaves an established standard therapy after a new option is approved and reimbursed.</w:t>
      </w:r>
    </w:p>
    <w:p>
      <w:pPr>
        <w:pStyle w:val="ListBullet"/>
      </w:pPr>
      <w:r>
        <w:t>In Japan, peginterferon dispensing for hepatitis C fell 99.2% between FY2014 and FY2023 and the first-generation protease inhibitors given with it disappeared from FY2016.</w:t>
      </w:r>
    </w:p>
    <w:p>
      <w:pPr>
        <w:pStyle w:val="ListBullet"/>
      </w:pPr>
      <w:r>
        <w:t>On an estimated-course scale, interferon-free direct-acting antivirals accounted for 97.0% of hepatitis C antiviral treatment within one fiscal year of the first interferon-free reimbursement, up from 50.9%.</w:t>
      </w:r>
    </w:p>
    <w:p>
      <w:pPr>
        <w:pStyle w:val="ListBullet"/>
      </w:pPr>
      <w:r>
        <w:t>Estimated total treatment volume peaked in FY2015 and then fell 88.9%, the shape expected when a curative therapy works through a prevalent population.</w:t>
      </w:r>
    </w:p>
    <w:p>
      <w:pPr>
        <w:pStyle w:val="ListBullet"/>
      </w:pPr>
      <w:r>
        <w:t>Findings describe national dispensed quantities, not patient counts; no measure of media coverage or of individual treatment decisions was available.</w:t>
      </w:r>
    </w:p>
    <w:p>
      <w:pPr>
        <w:pStyle w:val="Heading2"/>
      </w:pPr>
      <w:r>
        <w:t>Plain Language Summary</w:t>
      </w:r>
    </w:p>
    <w:p>
      <w:r>
        <w:t>Hepatitis C is a long-lasting liver infection that can lead to cirrhosis and liver cancer. For years, treatment in Japan relied on interferon injections, which caused hard side effects and cured only some people. In 2014 and 2015, Japan approved tablet-only treatments that work without interferon and began paying for them through public insurance. We asked how quickly the country actually moved from the old treatment to the new one. Using national open records of medicines supplied across Japan from the 2014 to the 2023 fiscal year, we followed the yearly amount of each drug and converted those amounts into approximate numbers of treatment courses. Interferon injections almost vanished, falling 99% over the ten years, and the drugs given alongside them stopped being used altogether. Within a single year of insurance coverage, the new tablets made up about 97% of estimated treatment. Total treatment rose sharply, peaked in 2015, and then fell by about 89% — the pattern expected when a curative treatment works through a large group of people already living with an infection. These records count medicines rather than people, so they describe national trends, not individual decisions.</w:t>
      </w:r>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rPr>
          <w:vertAlign w:val="superscript"/>
        </w:rP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rPr>
          <w:vertAlign w:val="superscript"/>
        </w:rPr>
        <w:t>2</w:t>
      </w:r>
      <w:r>
        <w:t>. Interferon-free all-oral regimens then arrived in quick succession: daclatasvir plus asunaprevir, approved in July 2014, was the first regimen worldwide to dispense with both interferon and ribavirin</w:t>
      </w:r>
      <w:r>
        <w:rPr>
          <w:vertAlign w:val="superscript"/>
        </w:rPr>
        <w:t>3,4</w:t>
      </w:r>
      <w:r>
        <w:t>, followed by sofosbuvir-based and pangenotypic regimens with cure rates above 90% and treatment durations of 8-12 weeks</w:t>
      </w:r>
      <w:r>
        <w:rPr>
          <w:vertAlign w:val="superscript"/>
        </w:rPr>
        <w:t>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rPr>
          <w:vertAlign w:val="superscript"/>
        </w:rPr>
        <w:t>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3,8</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sz w:val="15"/>
              </w:rPr>
              <w:t>FY</w:t>
            </w:r>
          </w:p>
        </w:tc>
        <w:tc>
          <w:tcPr>
            <w:tcW w:type="dxa" w:w="1728"/>
          </w:tcPr>
          <w:p>
            <w:r>
              <w:rPr>
                <w:b/>
                <w:sz w:val="15"/>
              </w:rPr>
              <w:t>Date</w:t>
            </w:r>
          </w:p>
        </w:tc>
        <w:tc>
          <w:tcPr>
            <w:tcW w:type="dxa" w:w="1728"/>
          </w:tcPr>
          <w:p>
            <w:r>
              <w:rPr>
                <w:b/>
                <w:sz w:val="15"/>
              </w:rPr>
              <w:t>Drug</w:t>
            </w:r>
          </w:p>
        </w:tc>
        <w:tc>
          <w:tcPr>
            <w:tcW w:type="dxa" w:w="1728"/>
          </w:tcPr>
          <w:p>
            <w:r>
              <w:rPr>
                <w:b/>
                <w:sz w:val="15"/>
              </w:rPr>
              <w:t>Milestone</w:t>
            </w:r>
          </w:p>
        </w:tc>
        <w:tc>
          <w:tcPr>
            <w:tcW w:type="dxa" w:w="1728"/>
          </w:tcPr>
          <w:p>
            <w:r>
              <w:rPr>
                <w:b/>
                <w:sz w:val="15"/>
              </w:rPr>
              <w:t>Source</w:t>
            </w:r>
          </w:p>
        </w:tc>
      </w:tr>
      <w:tr>
        <w:tc>
          <w:tcPr>
            <w:tcW w:type="dxa" w:w="1728"/>
          </w:tcPr>
          <w:p>
            <w:r>
              <w:rPr>
                <w:sz w:val="15"/>
              </w:rPr>
              <w:t>2014</w:t>
            </w:r>
          </w:p>
        </w:tc>
        <w:tc>
          <w:tcPr>
            <w:tcW w:type="dxa" w:w="1728"/>
          </w:tcPr>
          <w:p>
            <w:r>
              <w:rPr>
                <w:sz w:val="15"/>
              </w:rPr>
              <w:t>2014-07-04</w:t>
            </w:r>
          </w:p>
        </w:tc>
        <w:tc>
          <w:tcPr>
            <w:tcW w:type="dxa" w:w="1728"/>
          </w:tcPr>
          <w:p>
            <w:r>
              <w:rPr>
                <w:sz w:val="15"/>
              </w:rPr>
              <w:t>daclatasvir + asunaprevir</w:t>
            </w:r>
          </w:p>
        </w:tc>
        <w:tc>
          <w:tcPr>
            <w:tcW w:type="dxa" w:w="1728"/>
          </w:tcPr>
          <w:p>
            <w:r>
              <w:rPr>
                <w:sz w:val="15"/>
              </w:rPr>
              <w:t>approval</w:t>
            </w:r>
          </w:p>
        </w:tc>
        <w:tc>
          <w:tcPr>
            <w:tcW w:type="dxa" w:w="1728"/>
          </w:tcPr>
          <w:p>
            <w:r>
              <w:rPr>
                <w:sz w:val="15"/>
              </w:rPr>
              <w:t>Approval date 2014-07-04 (asunaprevir and daclatasvir package inserts); Bristol-Myers Squibb K.K. press release, 2014-07-04</w:t>
            </w:r>
          </w:p>
        </w:tc>
      </w:tr>
      <w:tr>
        <w:tc>
          <w:tcPr>
            <w:tcW w:type="dxa" w:w="1728"/>
          </w:tcPr>
          <w:p>
            <w:r>
              <w:rPr>
                <w:sz w:val="15"/>
              </w:rPr>
              <w:t>2014</w:t>
            </w:r>
          </w:p>
        </w:tc>
        <w:tc>
          <w:tcPr>
            <w:tcW w:type="dxa" w:w="1728"/>
          </w:tcPr>
          <w:p>
            <w:r>
              <w:rPr>
                <w:sz w:val="15"/>
              </w:rPr>
              <w:t>2014-09-02</w:t>
            </w:r>
          </w:p>
        </w:tc>
        <w:tc>
          <w:tcPr>
            <w:tcW w:type="dxa" w:w="1728"/>
          </w:tcPr>
          <w:p>
            <w:r>
              <w:rPr>
                <w:sz w:val="15"/>
              </w:rPr>
              <w:t>daclatasvir + asunaprevir</w:t>
            </w:r>
          </w:p>
        </w:tc>
        <w:tc>
          <w:tcPr>
            <w:tcW w:type="dxa" w:w="1728"/>
          </w:tcPr>
          <w:p>
            <w:r>
              <w:rPr>
                <w:sz w:val="15"/>
              </w:rPr>
              <w:t>NHI listing</w:t>
            </w:r>
          </w:p>
        </w:tc>
        <w:tc>
          <w:tcPr>
            <w:tcW w:type="dxa" w:w="1728"/>
          </w:tcPr>
          <w:p>
            <w:r>
              <w:rPr>
                <w:sz w:val="15"/>
              </w:rPr>
              <w:t>NHI drug-price listing date 2014-09-02 (asunaprevir and daclatasvir package inserts); market launch 2014-09-03 (Bristol-Myers Squibb K.K. press release)</w:t>
            </w:r>
          </w:p>
        </w:tc>
      </w:tr>
      <w:tr>
        <w:tc>
          <w:tcPr>
            <w:tcW w:type="dxa" w:w="1728"/>
          </w:tcPr>
          <w:p>
            <w:r>
              <w:rPr>
                <w:sz w:val="15"/>
              </w:rPr>
              <w:t>2015</w:t>
            </w:r>
          </w:p>
        </w:tc>
        <w:tc>
          <w:tcPr>
            <w:tcW w:type="dxa" w:w="1728"/>
          </w:tcPr>
          <w:p>
            <w:r>
              <w:rPr>
                <w:sz w:val="15"/>
              </w:rPr>
              <w:t>2015-03-26</w:t>
            </w:r>
          </w:p>
        </w:tc>
        <w:tc>
          <w:tcPr>
            <w:tcW w:type="dxa" w:w="1728"/>
          </w:tcPr>
          <w:p>
            <w:r>
              <w:rPr>
                <w:sz w:val="15"/>
              </w:rPr>
              <w:t>sofosbuvir</w:t>
            </w:r>
          </w:p>
        </w:tc>
        <w:tc>
          <w:tcPr>
            <w:tcW w:type="dxa" w:w="1728"/>
          </w:tcPr>
          <w:p>
            <w:r>
              <w:rPr>
                <w:sz w:val="15"/>
              </w:rPr>
              <w:t>approval</w:t>
            </w:r>
          </w:p>
        </w:tc>
        <w:tc>
          <w:tcPr>
            <w:tcW w:type="dxa" w:w="1728"/>
          </w:tcPr>
          <w:p>
            <w:r>
              <w:rPr>
                <w:sz w:val="15"/>
              </w:rPr>
              <w:t>Sofosbuvir approval date 2015-03-26 (package insert / interview form)</w:t>
            </w:r>
          </w:p>
        </w:tc>
      </w:tr>
      <w:tr>
        <w:tc>
          <w:tcPr>
            <w:tcW w:type="dxa" w:w="1728"/>
          </w:tcPr>
          <w:p>
            <w:r>
              <w:rPr>
                <w:sz w:val="15"/>
              </w:rPr>
              <w:t>2015</w:t>
            </w:r>
          </w:p>
        </w:tc>
        <w:tc>
          <w:tcPr>
            <w:tcW w:type="dxa" w:w="1728"/>
          </w:tcPr>
          <w:p>
            <w:r>
              <w:rPr>
                <w:sz w:val="15"/>
              </w:rPr>
              <w:t>2015-05-20</w:t>
            </w:r>
          </w:p>
        </w:tc>
        <w:tc>
          <w:tcPr>
            <w:tcW w:type="dxa" w:w="1728"/>
          </w:tcPr>
          <w:p>
            <w:r>
              <w:rPr>
                <w:sz w:val="15"/>
              </w:rPr>
              <w:t>sofosbuvir</w:t>
            </w:r>
          </w:p>
        </w:tc>
        <w:tc>
          <w:tcPr>
            <w:tcW w:type="dxa" w:w="1728"/>
          </w:tcPr>
          <w:p>
            <w:r>
              <w:rPr>
                <w:sz w:val="15"/>
              </w:rPr>
              <w:t>NHI listing</w:t>
            </w:r>
          </w:p>
        </w:tc>
        <w:tc>
          <w:tcPr>
            <w:tcW w:type="dxa" w:w="1728"/>
          </w:tcPr>
          <w:p>
            <w:r>
              <w:rPr>
                <w:sz w:val="15"/>
              </w:rPr>
              <w:t>NHI listing 2015-05-20 (Chuikyo plenary decision 2015-05-13; MHLW Health Insurance Bureau notification Ho-i-hatsu 0519 No. 1)</w:t>
            </w:r>
          </w:p>
        </w:tc>
      </w:tr>
      <w:tr>
        <w:tc>
          <w:tcPr>
            <w:tcW w:type="dxa" w:w="1728"/>
          </w:tcPr>
          <w:p>
            <w:r>
              <w:rPr>
                <w:sz w:val="15"/>
              </w:rPr>
              <w:t>2015</w:t>
            </w:r>
          </w:p>
        </w:tc>
        <w:tc>
          <w:tcPr>
            <w:tcW w:type="dxa" w:w="1728"/>
          </w:tcPr>
          <w:p>
            <w:r>
              <w:rPr>
                <w:sz w:val="15"/>
              </w:rPr>
              <w:t>2015-07-03</w:t>
            </w:r>
          </w:p>
        </w:tc>
        <w:tc>
          <w:tcPr>
            <w:tcW w:type="dxa" w:w="1728"/>
          </w:tcPr>
          <w:p>
            <w:r>
              <w:rPr>
                <w:sz w:val="15"/>
              </w:rPr>
              <w:t>ledipasvir/sofosbuvir</w:t>
            </w:r>
          </w:p>
        </w:tc>
        <w:tc>
          <w:tcPr>
            <w:tcW w:type="dxa" w:w="1728"/>
          </w:tcPr>
          <w:p>
            <w:r>
              <w:rPr>
                <w:sz w:val="15"/>
              </w:rPr>
              <w:t>approval</w:t>
            </w:r>
          </w:p>
        </w:tc>
        <w:tc>
          <w:tcPr>
            <w:tcW w:type="dxa" w:w="1728"/>
          </w:tcPr>
          <w:p>
            <w:r>
              <w:rPr>
                <w:sz w:val="15"/>
              </w:rPr>
              <w:t>MHLW marketing approval 2015-07-03 (package insert; reported by Asahi Shimbun, 2015-07-04)</w:t>
            </w:r>
          </w:p>
        </w:tc>
      </w:tr>
      <w:tr>
        <w:tc>
          <w:tcPr>
            <w:tcW w:type="dxa" w:w="1728"/>
          </w:tcPr>
          <w:p>
            <w:r>
              <w:rPr>
                <w:sz w:val="15"/>
              </w:rPr>
              <w:t>2015</w:t>
            </w:r>
          </w:p>
        </w:tc>
        <w:tc>
          <w:tcPr>
            <w:tcW w:type="dxa" w:w="1728"/>
          </w:tcPr>
          <w:p>
            <w:r>
              <w:rPr>
                <w:sz w:val="15"/>
              </w:rPr>
              <w:t>2015-08-31</w:t>
            </w:r>
          </w:p>
        </w:tc>
        <w:tc>
          <w:tcPr>
            <w:tcW w:type="dxa" w:w="1728"/>
          </w:tcPr>
          <w:p>
            <w:r>
              <w:rPr>
                <w:sz w:val="15"/>
              </w:rPr>
              <w:t>ledipasvir/sofosbuvir</w:t>
            </w:r>
          </w:p>
        </w:tc>
        <w:tc>
          <w:tcPr>
            <w:tcW w:type="dxa" w:w="1728"/>
          </w:tcPr>
          <w:p>
            <w:r>
              <w:rPr>
                <w:sz w:val="15"/>
              </w:rPr>
              <w:t>NHI listing</w:t>
            </w:r>
          </w:p>
        </w:tc>
        <w:tc>
          <w:tcPr>
            <w:tcW w:type="dxa" w:w="1728"/>
          </w:tcPr>
          <w:p>
            <w:r>
              <w:rPr>
                <w:sz w:val="15"/>
              </w:rPr>
              <w:t>Ledipasvir/sofosbuvir NHI drug-price listing date 2015-08-31 (package insert)</w:t>
            </w:r>
          </w:p>
        </w:tc>
      </w:tr>
      <w:tr>
        <w:tc>
          <w:tcPr>
            <w:tcW w:type="dxa" w:w="1728"/>
          </w:tcPr>
          <w:p>
            <w:r>
              <w:rPr>
                <w:sz w:val="15"/>
              </w:rPr>
              <w:t>2017</w:t>
            </w:r>
          </w:p>
        </w:tc>
        <w:tc>
          <w:tcPr>
            <w:tcW w:type="dxa" w:w="1728"/>
          </w:tcPr>
          <w:p>
            <w:r>
              <w:rPr>
                <w:sz w:val="15"/>
              </w:rPr>
              <w:t>2017-09-27</w:t>
            </w:r>
          </w:p>
        </w:tc>
        <w:tc>
          <w:tcPr>
            <w:tcW w:type="dxa" w:w="1728"/>
          </w:tcPr>
          <w:p>
            <w:r>
              <w:rPr>
                <w:sz w:val="15"/>
              </w:rPr>
              <w:t>glecaprevir/pibrentasvir</w:t>
            </w:r>
          </w:p>
        </w:tc>
        <w:tc>
          <w:tcPr>
            <w:tcW w:type="dxa" w:w="1728"/>
          </w:tcPr>
          <w:p>
            <w:r>
              <w:rPr>
                <w:sz w:val="15"/>
              </w:rPr>
              <w:t>approval</w:t>
            </w:r>
          </w:p>
        </w:tc>
        <w:tc>
          <w:tcPr>
            <w:tcW w:type="dxa" w:w="1728"/>
          </w:tcPr>
          <w:p>
            <w:r>
              <w:rPr>
                <w:sz w:val="15"/>
              </w:rPr>
              <w:t>Marketing approval 2017-09-27 (PMDA/MHLW; AbbVie GK)</w:t>
            </w:r>
          </w:p>
        </w:tc>
      </w:tr>
      <w:tr>
        <w:tc>
          <w:tcPr>
            <w:tcW w:type="dxa" w:w="1728"/>
          </w:tcPr>
          <w:p>
            <w:r>
              <w:rPr>
                <w:sz w:val="15"/>
              </w:rPr>
              <w:t>2017</w:t>
            </w:r>
          </w:p>
        </w:tc>
        <w:tc>
          <w:tcPr>
            <w:tcW w:type="dxa" w:w="1728"/>
          </w:tcPr>
          <w:p>
            <w:r>
              <w:rPr>
                <w:sz w:val="15"/>
              </w:rPr>
              <w:t>2017-11-22</w:t>
            </w:r>
          </w:p>
        </w:tc>
        <w:tc>
          <w:tcPr>
            <w:tcW w:type="dxa" w:w="1728"/>
          </w:tcPr>
          <w:p>
            <w:r>
              <w:rPr>
                <w:sz w:val="15"/>
              </w:rPr>
              <w:t>glecaprevir/pibrentasvir</w:t>
            </w:r>
          </w:p>
        </w:tc>
        <w:tc>
          <w:tcPr>
            <w:tcW w:type="dxa" w:w="1728"/>
          </w:tcPr>
          <w:p>
            <w:r>
              <w:rPr>
                <w:sz w:val="15"/>
              </w:rPr>
              <w:t>NHI listing</w:t>
            </w:r>
          </w:p>
        </w:tc>
        <w:tc>
          <w:tcPr>
            <w:tcW w:type="dxa" w:w="1728"/>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9</w:t>
      </w:r>
      <w:r>
        <w:t>, cross-checked against a residual bootstrap (10,000 resamples)</w:t>
      </w:r>
      <w:r>
        <w:rPr>
          <w:vertAlign w:val="superscript"/>
        </w:rPr>
        <w:t>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Peginterferon (syringes)</w:t>
            </w:r>
          </w:p>
        </w:tc>
        <w:tc>
          <w:tcPr>
            <w:tcW w:type="dxa" w:w="1440"/>
          </w:tcPr>
          <w:p>
            <w:r>
              <w:rPr>
                <w:b/>
                <w:sz w:val="15"/>
              </w:rPr>
              <w:t>First-generation protease inhibitors (with peginterferon)</w:t>
            </w:r>
          </w:p>
        </w:tc>
        <w:tc>
          <w:tcPr>
            <w:tcW w:type="dxa" w:w="1440"/>
          </w:tcPr>
          <w:p>
            <w:r>
              <w:rPr>
                <w:b/>
                <w:sz w:val="15"/>
              </w:rPr>
              <w:t>Conventional interferon (not hepatitis-C-specific)</w:t>
            </w:r>
          </w:p>
        </w:tc>
        <w:tc>
          <w:tcPr>
            <w:tcW w:type="dxa" w:w="1440"/>
          </w:tcPr>
          <w:p>
            <w:r>
              <w:rPr>
                <w:b/>
                <w:sz w:val="15"/>
              </w:rPr>
              <w:t>Ribavirin (both regimens)</w:t>
            </w:r>
          </w:p>
        </w:tc>
        <w:tc>
          <w:tcPr>
            <w:tcW w:type="dxa" w:w="1440"/>
          </w:tcPr>
          <w:p>
            <w:r>
              <w:rPr>
                <w:b/>
                <w:sz w:val="15"/>
              </w:rPr>
              <w:t>Interferon-free DAA total</w:t>
            </w:r>
          </w:p>
        </w:tc>
      </w:tr>
      <w:tr>
        <w:tc>
          <w:tcPr>
            <w:tcW w:type="dxa" w:w="1440"/>
          </w:tcPr>
          <w:p>
            <w:r>
              <w:rPr>
                <w:sz w:val="15"/>
              </w:rPr>
              <w:t>2014</w:t>
            </w:r>
          </w:p>
        </w:tc>
        <w:tc>
          <w:tcPr>
            <w:tcW w:type="dxa" w:w="1440"/>
          </w:tcPr>
          <w:p>
            <w:r>
              <w:rPr>
                <w:sz w:val="15"/>
              </w:rPr>
              <w:t>619,333</w:t>
            </w:r>
          </w:p>
        </w:tc>
        <w:tc>
          <w:tcPr>
            <w:tcW w:type="dxa" w:w="1440"/>
          </w:tcPr>
          <w:p>
            <w:r>
              <w:rPr>
                <w:sz w:val="15"/>
              </w:rPr>
              <w:t>826,748</w:t>
            </w:r>
          </w:p>
        </w:tc>
        <w:tc>
          <w:tcPr>
            <w:tcW w:type="dxa" w:w="1440"/>
          </w:tcPr>
          <w:p>
            <w:r>
              <w:rPr>
                <w:sz w:val="15"/>
              </w:rPr>
              <w:t>326,802</w:t>
            </w:r>
          </w:p>
        </w:tc>
        <w:tc>
          <w:tcPr>
            <w:tcW w:type="dxa" w:w="1440"/>
          </w:tcPr>
          <w:p>
            <w:r>
              <w:rPr>
                <w:sz w:val="15"/>
              </w:rPr>
              <w:t>10,166,159</w:t>
            </w:r>
          </w:p>
        </w:tc>
        <w:tc>
          <w:tcPr>
            <w:tcW w:type="dxa" w:w="1440"/>
          </w:tcPr>
          <w:p>
            <w:r>
              <w:rPr>
                <w:sz w:val="15"/>
              </w:rPr>
              <w:t>6,736,616</w:t>
            </w:r>
          </w:p>
        </w:tc>
      </w:tr>
      <w:tr>
        <w:tc>
          <w:tcPr>
            <w:tcW w:type="dxa" w:w="1440"/>
          </w:tcPr>
          <w:p>
            <w:r>
              <w:rPr>
                <w:sz w:val="15"/>
              </w:rPr>
              <w:t>2015</w:t>
            </w:r>
          </w:p>
        </w:tc>
        <w:tc>
          <w:tcPr>
            <w:tcW w:type="dxa" w:w="1440"/>
          </w:tcPr>
          <w:p>
            <w:r>
              <w:rPr>
                <w:sz w:val="15"/>
              </w:rPr>
              <w:t>131,081</w:t>
            </w:r>
          </w:p>
        </w:tc>
        <w:tc>
          <w:tcPr>
            <w:tcW w:type="dxa" w:w="1440"/>
          </w:tcPr>
          <w:p>
            <w:r>
              <w:rPr>
                <w:sz w:val="15"/>
              </w:rPr>
              <w:t>173,122</w:t>
            </w:r>
          </w:p>
        </w:tc>
        <w:tc>
          <w:tcPr>
            <w:tcW w:type="dxa" w:w="1440"/>
          </w:tcPr>
          <w:p>
            <w:r>
              <w:rPr>
                <w:sz w:val="15"/>
              </w:rPr>
              <w:t>224,563</w:t>
            </w:r>
          </w:p>
        </w:tc>
        <w:tc>
          <w:tcPr>
            <w:tcW w:type="dxa" w:w="1440"/>
          </w:tcPr>
          <w:p>
            <w:r>
              <w:rPr>
                <w:sz w:val="15"/>
              </w:rPr>
              <w:t>8,100,850</w:t>
            </w:r>
          </w:p>
        </w:tc>
        <w:tc>
          <w:tcPr>
            <w:tcW w:type="dxa" w:w="1440"/>
          </w:tcPr>
          <w:p>
            <w:r>
              <w:rPr>
                <w:sz w:val="15"/>
              </w:rPr>
              <w:t>19,374,861</w:t>
            </w:r>
          </w:p>
        </w:tc>
      </w:tr>
      <w:tr>
        <w:tc>
          <w:tcPr>
            <w:tcW w:type="dxa" w:w="1440"/>
          </w:tcPr>
          <w:p>
            <w:r>
              <w:rPr>
                <w:sz w:val="15"/>
              </w:rPr>
              <w:t>2016</w:t>
            </w:r>
          </w:p>
        </w:tc>
        <w:tc>
          <w:tcPr>
            <w:tcW w:type="dxa" w:w="1440"/>
          </w:tcPr>
          <w:p>
            <w:r>
              <w:rPr>
                <w:sz w:val="15"/>
              </w:rPr>
              <w:t>33,688</w:t>
            </w:r>
          </w:p>
        </w:tc>
        <w:tc>
          <w:tcPr>
            <w:tcW w:type="dxa" w:w="1440"/>
          </w:tcPr>
          <w:p>
            <w:r>
              <w:rPr>
                <w:sz w:val="15"/>
              </w:rPr>
              <w:t>0</w:t>
            </w:r>
          </w:p>
        </w:tc>
        <w:tc>
          <w:tcPr>
            <w:tcW w:type="dxa" w:w="1440"/>
          </w:tcPr>
          <w:p>
            <w:r>
              <w:rPr>
                <w:sz w:val="15"/>
              </w:rPr>
              <w:t>168,967</w:t>
            </w:r>
          </w:p>
        </w:tc>
        <w:tc>
          <w:tcPr>
            <w:tcW w:type="dxa" w:w="1440"/>
          </w:tcPr>
          <w:p>
            <w:r>
              <w:rPr>
                <w:sz w:val="15"/>
              </w:rPr>
              <w:t>4,849,660</w:t>
            </w:r>
          </w:p>
        </w:tc>
        <w:tc>
          <w:tcPr>
            <w:tcW w:type="dxa" w:w="1440"/>
          </w:tcPr>
          <w:p>
            <w:r>
              <w:rPr>
                <w:sz w:val="15"/>
              </w:rPr>
              <w:t>6,783,118</w:t>
            </w:r>
          </w:p>
        </w:tc>
      </w:tr>
      <w:tr>
        <w:tc>
          <w:tcPr>
            <w:tcW w:type="dxa" w:w="1440"/>
          </w:tcPr>
          <w:p>
            <w:r>
              <w:rPr>
                <w:sz w:val="15"/>
              </w:rPr>
              <w:t>2017</w:t>
            </w:r>
          </w:p>
        </w:tc>
        <w:tc>
          <w:tcPr>
            <w:tcW w:type="dxa" w:w="1440"/>
          </w:tcPr>
          <w:p>
            <w:r>
              <w:rPr>
                <w:sz w:val="15"/>
              </w:rPr>
              <w:t>21,176</w:t>
            </w:r>
          </w:p>
        </w:tc>
        <w:tc>
          <w:tcPr>
            <w:tcW w:type="dxa" w:w="1440"/>
          </w:tcPr>
          <w:p>
            <w:r>
              <w:rPr>
                <w:sz w:val="15"/>
              </w:rPr>
              <w:t>0</w:t>
            </w:r>
          </w:p>
        </w:tc>
        <w:tc>
          <w:tcPr>
            <w:tcW w:type="dxa" w:w="1440"/>
          </w:tcPr>
          <w:p>
            <w:r>
              <w:rPr>
                <w:sz w:val="15"/>
              </w:rPr>
              <w:t>130,383</w:t>
            </w:r>
          </w:p>
        </w:tc>
        <w:tc>
          <w:tcPr>
            <w:tcW w:type="dxa" w:w="1440"/>
          </w:tcPr>
          <w:p>
            <w:r>
              <w:rPr>
                <w:sz w:val="15"/>
              </w:rPr>
              <w:t>2,687,890</w:t>
            </w:r>
          </w:p>
        </w:tc>
        <w:tc>
          <w:tcPr>
            <w:tcW w:type="dxa" w:w="1440"/>
          </w:tcPr>
          <w:p>
            <w:r>
              <w:rPr>
                <w:sz w:val="15"/>
              </w:rPr>
              <w:t>5,062,848</w:t>
            </w:r>
          </w:p>
        </w:tc>
      </w:tr>
      <w:tr>
        <w:tc>
          <w:tcPr>
            <w:tcW w:type="dxa" w:w="1440"/>
          </w:tcPr>
          <w:p>
            <w:r>
              <w:rPr>
                <w:sz w:val="15"/>
              </w:rPr>
              <w:t>2018</w:t>
            </w:r>
          </w:p>
        </w:tc>
        <w:tc>
          <w:tcPr>
            <w:tcW w:type="dxa" w:w="1440"/>
          </w:tcPr>
          <w:p>
            <w:r>
              <w:rPr>
                <w:sz w:val="15"/>
              </w:rPr>
              <w:t>14,162</w:t>
            </w:r>
          </w:p>
        </w:tc>
        <w:tc>
          <w:tcPr>
            <w:tcW w:type="dxa" w:w="1440"/>
          </w:tcPr>
          <w:p>
            <w:r>
              <w:rPr>
                <w:sz w:val="15"/>
              </w:rPr>
              <w:t>0</w:t>
            </w:r>
          </w:p>
        </w:tc>
        <w:tc>
          <w:tcPr>
            <w:tcW w:type="dxa" w:w="1440"/>
          </w:tcPr>
          <w:p>
            <w:r>
              <w:rPr>
                <w:sz w:val="15"/>
              </w:rPr>
              <w:t>103,120</w:t>
            </w:r>
          </w:p>
        </w:tc>
        <w:tc>
          <w:tcPr>
            <w:tcW w:type="dxa" w:w="1440"/>
          </w:tcPr>
          <w:p>
            <w:r>
              <w:rPr>
                <w:sz w:val="15"/>
              </w:rPr>
              <w:t>3,124</w:t>
            </w:r>
          </w:p>
        </w:tc>
        <w:tc>
          <w:tcPr>
            <w:tcW w:type="dxa" w:w="1440"/>
          </w:tcPr>
          <w:p>
            <w:r>
              <w:rPr>
                <w:sz w:val="15"/>
              </w:rPr>
              <w:t>5,051,120</w:t>
            </w:r>
          </w:p>
        </w:tc>
      </w:tr>
      <w:tr>
        <w:tc>
          <w:tcPr>
            <w:tcW w:type="dxa" w:w="1440"/>
          </w:tcPr>
          <w:p>
            <w:r>
              <w:rPr>
                <w:sz w:val="15"/>
              </w:rPr>
              <w:t>2019</w:t>
            </w:r>
          </w:p>
        </w:tc>
        <w:tc>
          <w:tcPr>
            <w:tcW w:type="dxa" w:w="1440"/>
          </w:tcPr>
          <w:p>
            <w:r>
              <w:rPr>
                <w:sz w:val="15"/>
              </w:rPr>
              <w:t>10,961</w:t>
            </w:r>
          </w:p>
        </w:tc>
        <w:tc>
          <w:tcPr>
            <w:tcW w:type="dxa" w:w="1440"/>
          </w:tcPr>
          <w:p>
            <w:r>
              <w:rPr>
                <w:sz w:val="15"/>
              </w:rPr>
              <w:t>0</w:t>
            </w:r>
          </w:p>
        </w:tc>
        <w:tc>
          <w:tcPr>
            <w:tcW w:type="dxa" w:w="1440"/>
          </w:tcPr>
          <w:p>
            <w:r>
              <w:rPr>
                <w:sz w:val="15"/>
              </w:rPr>
              <w:t>75,458</w:t>
            </w:r>
          </w:p>
        </w:tc>
        <w:tc>
          <w:tcPr>
            <w:tcW w:type="dxa" w:w="1440"/>
          </w:tcPr>
          <w:p>
            <w:r>
              <w:rPr>
                <w:sz w:val="15"/>
              </w:rPr>
              <w:t>62,956</w:t>
            </w:r>
          </w:p>
        </w:tc>
        <w:tc>
          <w:tcPr>
            <w:tcW w:type="dxa" w:w="1440"/>
          </w:tcPr>
          <w:p>
            <w:r>
              <w:rPr>
                <w:sz w:val="15"/>
              </w:rPr>
              <w:t>3,165,028</w:t>
            </w:r>
          </w:p>
        </w:tc>
      </w:tr>
      <w:tr>
        <w:tc>
          <w:tcPr>
            <w:tcW w:type="dxa" w:w="1440"/>
          </w:tcPr>
          <w:p>
            <w:r>
              <w:rPr>
                <w:sz w:val="15"/>
              </w:rPr>
              <w:t>2020</w:t>
            </w:r>
          </w:p>
        </w:tc>
        <w:tc>
          <w:tcPr>
            <w:tcW w:type="dxa" w:w="1440"/>
          </w:tcPr>
          <w:p>
            <w:r>
              <w:rPr>
                <w:sz w:val="15"/>
              </w:rPr>
              <w:t>8,013</w:t>
            </w:r>
          </w:p>
        </w:tc>
        <w:tc>
          <w:tcPr>
            <w:tcW w:type="dxa" w:w="1440"/>
          </w:tcPr>
          <w:p>
            <w:r>
              <w:rPr>
                <w:sz w:val="15"/>
              </w:rPr>
              <w:t>0</w:t>
            </w:r>
          </w:p>
        </w:tc>
        <w:tc>
          <w:tcPr>
            <w:tcW w:type="dxa" w:w="1440"/>
          </w:tcPr>
          <w:p>
            <w:r>
              <w:rPr>
                <w:sz w:val="15"/>
              </w:rPr>
              <w:t>54,982</w:t>
            </w:r>
          </w:p>
        </w:tc>
        <w:tc>
          <w:tcPr>
            <w:tcW w:type="dxa" w:w="1440"/>
          </w:tcPr>
          <w:p>
            <w:r>
              <w:rPr>
                <w:sz w:val="15"/>
              </w:rPr>
              <w:t>0</w:t>
            </w:r>
          </w:p>
        </w:tc>
        <w:tc>
          <w:tcPr>
            <w:tcW w:type="dxa" w:w="1440"/>
          </w:tcPr>
          <w:p>
            <w:r>
              <w:rPr>
                <w:sz w:val="15"/>
              </w:rPr>
              <w:t>2,356,769</w:t>
            </w:r>
          </w:p>
        </w:tc>
      </w:tr>
      <w:tr>
        <w:tc>
          <w:tcPr>
            <w:tcW w:type="dxa" w:w="1440"/>
          </w:tcPr>
          <w:p>
            <w:r>
              <w:rPr>
                <w:sz w:val="15"/>
              </w:rPr>
              <w:t>2021</w:t>
            </w:r>
          </w:p>
        </w:tc>
        <w:tc>
          <w:tcPr>
            <w:tcW w:type="dxa" w:w="1440"/>
          </w:tcPr>
          <w:p>
            <w:r>
              <w:rPr>
                <w:sz w:val="15"/>
              </w:rPr>
              <w:t>7,534</w:t>
            </w:r>
          </w:p>
        </w:tc>
        <w:tc>
          <w:tcPr>
            <w:tcW w:type="dxa" w:w="1440"/>
          </w:tcPr>
          <w:p>
            <w:r>
              <w:rPr>
                <w:sz w:val="15"/>
              </w:rPr>
              <w:t>0</w:t>
            </w:r>
          </w:p>
        </w:tc>
        <w:tc>
          <w:tcPr>
            <w:tcW w:type="dxa" w:w="1440"/>
          </w:tcPr>
          <w:p>
            <w:r>
              <w:rPr>
                <w:sz w:val="15"/>
              </w:rPr>
              <w:t>45,147</w:t>
            </w:r>
          </w:p>
        </w:tc>
        <w:tc>
          <w:tcPr>
            <w:tcW w:type="dxa" w:w="1440"/>
          </w:tcPr>
          <w:p>
            <w:r>
              <w:rPr>
                <w:sz w:val="15"/>
              </w:rPr>
              <w:t>0</w:t>
            </w:r>
          </w:p>
        </w:tc>
        <w:tc>
          <w:tcPr>
            <w:tcW w:type="dxa" w:w="1440"/>
          </w:tcPr>
          <w:p>
            <w:r>
              <w:rPr>
                <w:sz w:val="15"/>
              </w:rPr>
              <w:t>1,994,076</w:t>
            </w:r>
          </w:p>
        </w:tc>
      </w:tr>
      <w:tr>
        <w:tc>
          <w:tcPr>
            <w:tcW w:type="dxa" w:w="1440"/>
          </w:tcPr>
          <w:p>
            <w:r>
              <w:rPr>
                <w:sz w:val="15"/>
              </w:rPr>
              <w:t>2022</w:t>
            </w:r>
          </w:p>
        </w:tc>
        <w:tc>
          <w:tcPr>
            <w:tcW w:type="dxa" w:w="1440"/>
          </w:tcPr>
          <w:p>
            <w:r>
              <w:rPr>
                <w:sz w:val="15"/>
              </w:rPr>
              <w:t>7,073</w:t>
            </w:r>
          </w:p>
        </w:tc>
        <w:tc>
          <w:tcPr>
            <w:tcW w:type="dxa" w:w="1440"/>
          </w:tcPr>
          <w:p>
            <w:r>
              <w:rPr>
                <w:sz w:val="15"/>
              </w:rPr>
              <w:t>0</w:t>
            </w:r>
          </w:p>
        </w:tc>
        <w:tc>
          <w:tcPr>
            <w:tcW w:type="dxa" w:w="1440"/>
          </w:tcPr>
          <w:p>
            <w:r>
              <w:rPr>
                <w:sz w:val="15"/>
              </w:rPr>
              <w:t>35,298</w:t>
            </w:r>
          </w:p>
        </w:tc>
        <w:tc>
          <w:tcPr>
            <w:tcW w:type="dxa" w:w="1440"/>
          </w:tcPr>
          <w:p>
            <w:r>
              <w:rPr>
                <w:sz w:val="15"/>
              </w:rPr>
              <w:t>0</w:t>
            </w:r>
          </w:p>
        </w:tc>
        <w:tc>
          <w:tcPr>
            <w:tcW w:type="dxa" w:w="1440"/>
          </w:tcPr>
          <w:p>
            <w:r>
              <w:rPr>
                <w:sz w:val="15"/>
              </w:rPr>
              <w:t>1,545,191</w:t>
            </w:r>
          </w:p>
        </w:tc>
      </w:tr>
      <w:tr>
        <w:tc>
          <w:tcPr>
            <w:tcW w:type="dxa" w:w="1440"/>
          </w:tcPr>
          <w:p>
            <w:r>
              <w:rPr>
                <w:sz w:val="15"/>
              </w:rPr>
              <w:t>2023</w:t>
            </w:r>
          </w:p>
        </w:tc>
        <w:tc>
          <w:tcPr>
            <w:tcW w:type="dxa" w:w="1440"/>
          </w:tcPr>
          <w:p>
            <w:r>
              <w:rPr>
                <w:sz w:val="15"/>
              </w:rPr>
              <w:t>4,836</w:t>
            </w:r>
          </w:p>
        </w:tc>
        <w:tc>
          <w:tcPr>
            <w:tcW w:type="dxa" w:w="1440"/>
          </w:tcPr>
          <w:p>
            <w:r>
              <w:rPr>
                <w:sz w:val="15"/>
              </w:rPr>
              <w:t>0</w:t>
            </w:r>
          </w:p>
        </w:tc>
        <w:tc>
          <w:tcPr>
            <w:tcW w:type="dxa" w:w="1440"/>
          </w:tcPr>
          <w:p>
            <w:r>
              <w:rPr>
                <w:sz w:val="15"/>
              </w:rPr>
              <w:t>21,673</w:t>
            </w:r>
          </w:p>
        </w:tc>
        <w:tc>
          <w:tcPr>
            <w:tcW w:type="dxa" w:w="1440"/>
          </w:tcPr>
          <w:p>
            <w:r>
              <w:rPr>
                <w:sz w:val="15"/>
              </w:rPr>
              <w:t>0</w:t>
            </w:r>
          </w:p>
        </w:tc>
        <w:tc>
          <w:tcPr>
            <w:tcW w:type="dxa" w:w="1440"/>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Interferon-free DAA courses</w:t>
            </w:r>
          </w:p>
        </w:tc>
        <w:tc>
          <w:tcPr>
            <w:tcW w:type="dxa" w:w="1440"/>
          </w:tcPr>
          <w:p>
            <w:r>
              <w:rPr>
                <w:b/>
                <w:sz w:val="15"/>
              </w:rPr>
              <w:t>Interferon-free DAA courses (longer-duration assumption)</w:t>
            </w:r>
          </w:p>
        </w:tc>
        <w:tc>
          <w:tcPr>
            <w:tcW w:type="dxa" w:w="1440"/>
          </w:tcPr>
          <w:p>
            <w:r>
              <w:rPr>
                <w:b/>
                <w:sz w:val="15"/>
              </w:rPr>
              <w:t>Peginterferon courses</w:t>
            </w:r>
          </w:p>
        </w:tc>
        <w:tc>
          <w:tcPr>
            <w:tcW w:type="dxa" w:w="1440"/>
          </w:tcPr>
          <w:p>
            <w:r>
              <w:rPr>
                <w:b/>
                <w:sz w:val="15"/>
              </w:rPr>
              <w:t>Combined treatment volume</w:t>
            </w:r>
          </w:p>
        </w:tc>
        <w:tc>
          <w:tcPr>
            <w:tcW w:type="dxa" w:w="1440"/>
          </w:tcPr>
          <w:p>
            <w:r>
              <w:rPr>
                <w:b/>
                <w:sz w:val="15"/>
              </w:rPr>
              <w:t>DAA share (%)</w:t>
            </w:r>
          </w:p>
        </w:tc>
      </w:tr>
      <w:tr>
        <w:tc>
          <w:tcPr>
            <w:tcW w:type="dxa" w:w="1440"/>
          </w:tcPr>
          <w:p>
            <w:r>
              <w:rPr>
                <w:sz w:val="15"/>
              </w:rPr>
              <w:t>2014</w:t>
            </w:r>
          </w:p>
        </w:tc>
        <w:tc>
          <w:tcPr>
            <w:tcW w:type="dxa" w:w="1440"/>
          </w:tcPr>
          <w:p>
            <w:r>
              <w:rPr>
                <w:sz w:val="15"/>
              </w:rPr>
              <w:t>13,404</w:t>
            </w:r>
          </w:p>
        </w:tc>
        <w:tc>
          <w:tcPr>
            <w:tcW w:type="dxa" w:w="1440"/>
          </w:tcPr>
          <w:p>
            <w:r>
              <w:rPr>
                <w:sz w:val="15"/>
              </w:rPr>
              <w:t>13,404</w:t>
            </w:r>
          </w:p>
        </w:tc>
        <w:tc>
          <w:tcPr>
            <w:tcW w:type="dxa" w:w="1440"/>
          </w:tcPr>
          <w:p>
            <w:r>
              <w:rPr>
                <w:sz w:val="15"/>
              </w:rPr>
              <w:t>12,903</w:t>
            </w:r>
          </w:p>
        </w:tc>
        <w:tc>
          <w:tcPr>
            <w:tcW w:type="dxa" w:w="1440"/>
          </w:tcPr>
          <w:p>
            <w:r>
              <w:rPr>
                <w:sz w:val="15"/>
              </w:rPr>
              <w:t>26,307</w:t>
            </w:r>
          </w:p>
        </w:tc>
        <w:tc>
          <w:tcPr>
            <w:tcW w:type="dxa" w:w="1440"/>
          </w:tcPr>
          <w:p>
            <w:r>
              <w:rPr>
                <w:sz w:val="15"/>
              </w:rPr>
              <w:t>50.9</w:t>
            </w:r>
          </w:p>
        </w:tc>
      </w:tr>
      <w:tr>
        <w:tc>
          <w:tcPr>
            <w:tcW w:type="dxa" w:w="1440"/>
          </w:tcPr>
          <w:p>
            <w:r>
              <w:rPr>
                <w:sz w:val="15"/>
              </w:rPr>
              <w:t>2015</w:t>
            </w:r>
          </w:p>
        </w:tc>
        <w:tc>
          <w:tcPr>
            <w:tcW w:type="dxa" w:w="1440"/>
          </w:tcPr>
          <w:p>
            <w:r>
              <w:rPr>
                <w:sz w:val="15"/>
              </w:rPr>
              <w:t>89,858</w:t>
            </w:r>
          </w:p>
        </w:tc>
        <w:tc>
          <w:tcPr>
            <w:tcW w:type="dxa" w:w="1440"/>
          </w:tcPr>
          <w:p>
            <w:r>
              <w:rPr>
                <w:sz w:val="15"/>
              </w:rPr>
              <w:t>89,858</w:t>
            </w:r>
          </w:p>
        </w:tc>
        <w:tc>
          <w:tcPr>
            <w:tcW w:type="dxa" w:w="1440"/>
          </w:tcPr>
          <w:p>
            <w:r>
              <w:rPr>
                <w:sz w:val="15"/>
              </w:rPr>
              <w:t>2,731</w:t>
            </w:r>
          </w:p>
        </w:tc>
        <w:tc>
          <w:tcPr>
            <w:tcW w:type="dxa" w:w="1440"/>
          </w:tcPr>
          <w:p>
            <w:r>
              <w:rPr>
                <w:sz w:val="15"/>
              </w:rPr>
              <w:t>92,589</w:t>
            </w:r>
          </w:p>
        </w:tc>
        <w:tc>
          <w:tcPr>
            <w:tcW w:type="dxa" w:w="1440"/>
          </w:tcPr>
          <w:p>
            <w:r>
              <w:rPr>
                <w:sz w:val="15"/>
              </w:rPr>
              <w:t>97.0</w:t>
            </w:r>
          </w:p>
        </w:tc>
      </w:tr>
      <w:tr>
        <w:tc>
          <w:tcPr>
            <w:tcW w:type="dxa" w:w="1440"/>
          </w:tcPr>
          <w:p>
            <w:r>
              <w:rPr>
                <w:sz w:val="15"/>
              </w:rPr>
              <w:t>2016</w:t>
            </w:r>
          </w:p>
        </w:tc>
        <w:tc>
          <w:tcPr>
            <w:tcW w:type="dxa" w:w="1440"/>
          </w:tcPr>
          <w:p>
            <w:r>
              <w:rPr>
                <w:sz w:val="15"/>
              </w:rPr>
              <w:t>60,598</w:t>
            </w:r>
          </w:p>
        </w:tc>
        <w:tc>
          <w:tcPr>
            <w:tcW w:type="dxa" w:w="1440"/>
          </w:tcPr>
          <w:p>
            <w:r>
              <w:rPr>
                <w:sz w:val="15"/>
              </w:rPr>
              <w:t>60,598</w:t>
            </w:r>
          </w:p>
        </w:tc>
        <w:tc>
          <w:tcPr>
            <w:tcW w:type="dxa" w:w="1440"/>
          </w:tcPr>
          <w:p>
            <w:r>
              <w:rPr>
                <w:sz w:val="15"/>
              </w:rPr>
              <w:t>702</w:t>
            </w:r>
          </w:p>
        </w:tc>
        <w:tc>
          <w:tcPr>
            <w:tcW w:type="dxa" w:w="1440"/>
          </w:tcPr>
          <w:p>
            <w:r>
              <w:rPr>
                <w:sz w:val="15"/>
              </w:rPr>
              <w:t>61,300</w:t>
            </w:r>
          </w:p>
        </w:tc>
        <w:tc>
          <w:tcPr>
            <w:tcW w:type="dxa" w:w="1440"/>
          </w:tcPr>
          <w:p>
            <w:r>
              <w:rPr>
                <w:sz w:val="15"/>
              </w:rPr>
              <w:t>98.9</w:t>
            </w:r>
          </w:p>
        </w:tc>
      </w:tr>
      <w:tr>
        <w:tc>
          <w:tcPr>
            <w:tcW w:type="dxa" w:w="1440"/>
          </w:tcPr>
          <w:p>
            <w:r>
              <w:rPr>
                <w:sz w:val="15"/>
              </w:rPr>
              <w:t>2017</w:t>
            </w:r>
          </w:p>
        </w:tc>
        <w:tc>
          <w:tcPr>
            <w:tcW w:type="dxa" w:w="1440"/>
          </w:tcPr>
          <w:p>
            <w:r>
              <w:rPr>
                <w:sz w:val="15"/>
              </w:rPr>
              <w:t>35,292</w:t>
            </w:r>
          </w:p>
        </w:tc>
        <w:tc>
          <w:tcPr>
            <w:tcW w:type="dxa" w:w="1440"/>
          </w:tcPr>
          <w:p>
            <w:r>
              <w:rPr>
                <w:sz w:val="15"/>
              </w:rPr>
              <w:t>32,903</w:t>
            </w:r>
          </w:p>
        </w:tc>
        <w:tc>
          <w:tcPr>
            <w:tcW w:type="dxa" w:w="1440"/>
          </w:tcPr>
          <w:p>
            <w:r>
              <w:rPr>
                <w:sz w:val="15"/>
              </w:rPr>
              <w:t>441</w:t>
            </w:r>
          </w:p>
        </w:tc>
        <w:tc>
          <w:tcPr>
            <w:tcW w:type="dxa" w:w="1440"/>
          </w:tcPr>
          <w:p>
            <w:r>
              <w:rPr>
                <w:sz w:val="15"/>
              </w:rPr>
              <w:t>35,733</w:t>
            </w:r>
          </w:p>
        </w:tc>
        <w:tc>
          <w:tcPr>
            <w:tcW w:type="dxa" w:w="1440"/>
          </w:tcPr>
          <w:p>
            <w:r>
              <w:rPr>
                <w:sz w:val="15"/>
              </w:rPr>
              <w:t>98.8</w:t>
            </w:r>
          </w:p>
        </w:tc>
      </w:tr>
      <w:tr>
        <w:tc>
          <w:tcPr>
            <w:tcW w:type="dxa" w:w="1440"/>
          </w:tcPr>
          <w:p>
            <w:r>
              <w:rPr>
                <w:sz w:val="15"/>
              </w:rPr>
              <w:t>2018</w:t>
            </w:r>
          </w:p>
        </w:tc>
        <w:tc>
          <w:tcPr>
            <w:tcW w:type="dxa" w:w="1440"/>
          </w:tcPr>
          <w:p>
            <w:r>
              <w:rPr>
                <w:sz w:val="15"/>
              </w:rPr>
              <w:t>30,473</w:t>
            </w:r>
          </w:p>
        </w:tc>
        <w:tc>
          <w:tcPr>
            <w:tcW w:type="dxa" w:w="1440"/>
          </w:tcPr>
          <w:p>
            <w:r>
              <w:rPr>
                <w:sz w:val="15"/>
              </w:rPr>
              <w:t>21,853</w:t>
            </w:r>
          </w:p>
        </w:tc>
        <w:tc>
          <w:tcPr>
            <w:tcW w:type="dxa" w:w="1440"/>
          </w:tcPr>
          <w:p>
            <w:r>
              <w:rPr>
                <w:sz w:val="15"/>
              </w:rPr>
              <w:t>295</w:t>
            </w:r>
          </w:p>
        </w:tc>
        <w:tc>
          <w:tcPr>
            <w:tcW w:type="dxa" w:w="1440"/>
          </w:tcPr>
          <w:p>
            <w:r>
              <w:rPr>
                <w:sz w:val="15"/>
              </w:rPr>
              <w:t>30,768</w:t>
            </w:r>
          </w:p>
        </w:tc>
        <w:tc>
          <w:tcPr>
            <w:tcW w:type="dxa" w:w="1440"/>
          </w:tcPr>
          <w:p>
            <w:r>
              <w:rPr>
                <w:sz w:val="15"/>
              </w:rPr>
              <w:t>99.0</w:t>
            </w:r>
          </w:p>
        </w:tc>
      </w:tr>
      <w:tr>
        <w:tc>
          <w:tcPr>
            <w:tcW w:type="dxa" w:w="1440"/>
          </w:tcPr>
          <w:p>
            <w:r>
              <w:rPr>
                <w:sz w:val="15"/>
              </w:rPr>
              <w:t>2019</w:t>
            </w:r>
          </w:p>
        </w:tc>
        <w:tc>
          <w:tcPr>
            <w:tcW w:type="dxa" w:w="1440"/>
          </w:tcPr>
          <w:p>
            <w:r>
              <w:rPr>
                <w:sz w:val="15"/>
              </w:rPr>
              <w:t>20,275</w:t>
            </w:r>
          </w:p>
        </w:tc>
        <w:tc>
          <w:tcPr>
            <w:tcW w:type="dxa" w:w="1440"/>
          </w:tcPr>
          <w:p>
            <w:r>
              <w:rPr>
                <w:sz w:val="15"/>
              </w:rPr>
              <w:t>14,354</w:t>
            </w:r>
          </w:p>
        </w:tc>
        <w:tc>
          <w:tcPr>
            <w:tcW w:type="dxa" w:w="1440"/>
          </w:tcPr>
          <w:p>
            <w:r>
              <w:rPr>
                <w:sz w:val="15"/>
              </w:rPr>
              <w:t>228</w:t>
            </w:r>
          </w:p>
        </w:tc>
        <w:tc>
          <w:tcPr>
            <w:tcW w:type="dxa" w:w="1440"/>
          </w:tcPr>
          <w:p>
            <w:r>
              <w:rPr>
                <w:sz w:val="15"/>
              </w:rPr>
              <w:t>20,503</w:t>
            </w:r>
          </w:p>
        </w:tc>
        <w:tc>
          <w:tcPr>
            <w:tcW w:type="dxa" w:w="1440"/>
          </w:tcPr>
          <w:p>
            <w:r>
              <w:rPr>
                <w:sz w:val="15"/>
              </w:rPr>
              <w:t>98.9</w:t>
            </w:r>
          </w:p>
        </w:tc>
      </w:tr>
      <w:tr>
        <w:tc>
          <w:tcPr>
            <w:tcW w:type="dxa" w:w="1440"/>
          </w:tcPr>
          <w:p>
            <w:r>
              <w:rPr>
                <w:sz w:val="15"/>
              </w:rPr>
              <w:t>2020</w:t>
            </w:r>
          </w:p>
        </w:tc>
        <w:tc>
          <w:tcPr>
            <w:tcW w:type="dxa" w:w="1440"/>
          </w:tcPr>
          <w:p>
            <w:r>
              <w:rPr>
                <w:sz w:val="15"/>
              </w:rPr>
              <w:t>15,052</w:t>
            </w:r>
          </w:p>
        </w:tc>
        <w:tc>
          <w:tcPr>
            <w:tcW w:type="dxa" w:w="1440"/>
          </w:tcPr>
          <w:p>
            <w:r>
              <w:rPr>
                <w:sz w:val="15"/>
              </w:rPr>
              <w:t>10,700</w:t>
            </w:r>
          </w:p>
        </w:tc>
        <w:tc>
          <w:tcPr>
            <w:tcW w:type="dxa" w:w="1440"/>
          </w:tcPr>
          <w:p>
            <w:r>
              <w:rPr>
                <w:sz w:val="15"/>
              </w:rPr>
              <w:t>167</w:t>
            </w:r>
          </w:p>
        </w:tc>
        <w:tc>
          <w:tcPr>
            <w:tcW w:type="dxa" w:w="1440"/>
          </w:tcPr>
          <w:p>
            <w:r>
              <w:rPr>
                <w:sz w:val="15"/>
              </w:rPr>
              <w:t>15,219</w:t>
            </w:r>
          </w:p>
        </w:tc>
        <w:tc>
          <w:tcPr>
            <w:tcW w:type="dxa" w:w="1440"/>
          </w:tcPr>
          <w:p>
            <w:r>
              <w:rPr>
                <w:sz w:val="15"/>
              </w:rPr>
              <w:t>98.9</w:t>
            </w:r>
          </w:p>
        </w:tc>
      </w:tr>
      <w:tr>
        <w:tc>
          <w:tcPr>
            <w:tcW w:type="dxa" w:w="1440"/>
          </w:tcPr>
          <w:p>
            <w:r>
              <w:rPr>
                <w:sz w:val="15"/>
              </w:rPr>
              <w:t>2021</w:t>
            </w:r>
          </w:p>
        </w:tc>
        <w:tc>
          <w:tcPr>
            <w:tcW w:type="dxa" w:w="1440"/>
          </w:tcPr>
          <w:p>
            <w:r>
              <w:rPr>
                <w:sz w:val="15"/>
              </w:rPr>
              <w:t>12,712</w:t>
            </w:r>
          </w:p>
        </w:tc>
        <w:tc>
          <w:tcPr>
            <w:tcW w:type="dxa" w:w="1440"/>
          </w:tcPr>
          <w:p>
            <w:r>
              <w:rPr>
                <w:sz w:val="15"/>
              </w:rPr>
              <w:t>9,027</w:t>
            </w:r>
          </w:p>
        </w:tc>
        <w:tc>
          <w:tcPr>
            <w:tcW w:type="dxa" w:w="1440"/>
          </w:tcPr>
          <w:p>
            <w:r>
              <w:rPr>
                <w:sz w:val="15"/>
              </w:rPr>
              <w:t>157</w:t>
            </w:r>
          </w:p>
        </w:tc>
        <w:tc>
          <w:tcPr>
            <w:tcW w:type="dxa" w:w="1440"/>
          </w:tcPr>
          <w:p>
            <w:r>
              <w:rPr>
                <w:sz w:val="15"/>
              </w:rPr>
              <w:t>12,868</w:t>
            </w:r>
          </w:p>
        </w:tc>
        <w:tc>
          <w:tcPr>
            <w:tcW w:type="dxa" w:w="1440"/>
          </w:tcPr>
          <w:p>
            <w:r>
              <w:rPr>
                <w:sz w:val="15"/>
              </w:rPr>
              <w:t>98.8</w:t>
            </w:r>
          </w:p>
        </w:tc>
      </w:tr>
      <w:tr>
        <w:tc>
          <w:tcPr>
            <w:tcW w:type="dxa" w:w="1440"/>
          </w:tcPr>
          <w:p>
            <w:r>
              <w:rPr>
                <w:sz w:val="15"/>
              </w:rPr>
              <w:t>2022</w:t>
            </w:r>
          </w:p>
        </w:tc>
        <w:tc>
          <w:tcPr>
            <w:tcW w:type="dxa" w:w="1440"/>
          </w:tcPr>
          <w:p>
            <w:r>
              <w:rPr>
                <w:sz w:val="15"/>
              </w:rPr>
              <w:t>9,799</w:t>
            </w:r>
          </w:p>
        </w:tc>
        <w:tc>
          <w:tcPr>
            <w:tcW w:type="dxa" w:w="1440"/>
          </w:tcPr>
          <w:p>
            <w:r>
              <w:rPr>
                <w:sz w:val="15"/>
              </w:rPr>
              <w:t>6,793</w:t>
            </w:r>
          </w:p>
        </w:tc>
        <w:tc>
          <w:tcPr>
            <w:tcW w:type="dxa" w:w="1440"/>
          </w:tcPr>
          <w:p>
            <w:r>
              <w:rPr>
                <w:sz w:val="15"/>
              </w:rPr>
              <w:t>147</w:t>
            </w:r>
          </w:p>
        </w:tc>
        <w:tc>
          <w:tcPr>
            <w:tcW w:type="dxa" w:w="1440"/>
          </w:tcPr>
          <w:p>
            <w:r>
              <w:rPr>
                <w:sz w:val="15"/>
              </w:rPr>
              <w:t>9,947</w:t>
            </w:r>
          </w:p>
        </w:tc>
        <w:tc>
          <w:tcPr>
            <w:tcW w:type="dxa" w:w="1440"/>
          </w:tcPr>
          <w:p>
            <w:r>
              <w:rPr>
                <w:sz w:val="15"/>
              </w:rPr>
              <w:t>98.5</w:t>
            </w:r>
          </w:p>
        </w:tc>
      </w:tr>
      <w:tr>
        <w:tc>
          <w:tcPr>
            <w:tcW w:type="dxa" w:w="1440"/>
          </w:tcPr>
          <w:p>
            <w:r>
              <w:rPr>
                <w:sz w:val="15"/>
              </w:rPr>
              <w:t>2023</w:t>
            </w:r>
          </w:p>
        </w:tc>
        <w:tc>
          <w:tcPr>
            <w:tcW w:type="dxa" w:w="1440"/>
          </w:tcPr>
          <w:p>
            <w:r>
              <w:rPr>
                <w:sz w:val="15"/>
              </w:rPr>
              <w:t>10,174</w:t>
            </w:r>
          </w:p>
        </w:tc>
        <w:tc>
          <w:tcPr>
            <w:tcW w:type="dxa" w:w="1440"/>
          </w:tcPr>
          <w:p>
            <w:r>
              <w:rPr>
                <w:sz w:val="15"/>
              </w:rPr>
              <w:t>6,423</w:t>
            </w:r>
          </w:p>
        </w:tc>
        <w:tc>
          <w:tcPr>
            <w:tcW w:type="dxa" w:w="1440"/>
          </w:tcPr>
          <w:p>
            <w:r>
              <w:rPr>
                <w:sz w:val="15"/>
              </w:rPr>
              <w:t>101</w:t>
            </w:r>
          </w:p>
        </w:tc>
        <w:tc>
          <w:tcPr>
            <w:tcW w:type="dxa" w:w="1440"/>
          </w:tcPr>
          <w:p>
            <w:r>
              <w:rPr>
                <w:sz w:val="15"/>
              </w:rPr>
              <w:t>10,275</w:t>
            </w:r>
          </w:p>
        </w:tc>
        <w:tc>
          <w:tcPr>
            <w:tcW w:type="dxa" w:w="1440"/>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11</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2,4,5,6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13,14</w:t>
      </w:r>
      <w:r>
        <w:t>. Comparison with settings that lack such a scheme is instructive: among insured United States adults diagnosed in 2019-2020, only 23-35% started DAA treatment within a year, varying by payer</w:t>
      </w:r>
      <w:r>
        <w:rPr>
          <w:vertAlign w:val="superscript"/>
        </w:rP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r>
        <w:rPr>
          <w:b/>
        </w:rPr>
        <w:t xml:space="preserve">Ethics approval and consent. </w:t>
      </w:r>
      <w:r>
        <w:t>This study used only publicly available, aggregated national open data (NDB Open Data) containing no individual-level or identifiable information; ethics-committee approval and informed consent were therefore not required.</w:t>
      </w:r>
    </w:p>
    <w:p>
      <w:r>
        <w:rPr>
          <w:b/>
        </w:rPr>
        <w:t xml:space="preserve">Conflict of interest. </w:t>
      </w:r>
      <w:r>
        <w:t>The authors declare no conflicts of interest.</w:t>
      </w:r>
    </w:p>
    <w:p>
      <w:r>
        <w:rPr>
          <w:b/>
        </w:rPr>
        <w:t xml:space="preserve">Funding. </w:t>
      </w:r>
      <w:r>
        <w:t>This research received no specific grant from any funding agency.</w:t>
      </w:r>
    </w:p>
    <w:p>
      <w:r>
        <w:rPr>
          <w:b/>
        </w:rPr>
        <w:t xml:space="preserve">Reporting guideline. </w:t>
      </w:r>
      <w:r>
        <w:t>This observational study is reported in line with the STROBE guideline for cross-sectional/ecological analyses of routinely collected aggregate data; a completed STROBE checklist is provided as Supplementary Material.</w:t>
      </w:r>
    </w:p>
    <w:p>
      <w:pPr>
        <w:pStyle w:val="Heading1"/>
      </w:pPr>
      <w:r>
        <w:t>Data and code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 https://doi.org/10.1002/cpt.2080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12 September 2026).</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Ministry of Health, Labour and Welfare (Japan). NDB Open Data (1st-10th editions). https://www.mhlw.go.jp/stf/seisakunitsuite/bunya/0000177182.html (accessed 12 September 2026).</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12 September 2026).</w:t>
      </w:r>
    </w:p>
    <w:p>
      <w:pPr>
        <w:ind w:left="432" w:hanging="432"/>
      </w:pPr>
      <w:r>
        <w:t>9. Newey WK, West KD. A simple, positive semi-definite, heteroskedasticity and autocorrelation consistent covariance matrix. Econometrica. 1987;55(3):703-708. https://doi.org/10.2307/1913610</w:t>
      </w:r>
    </w:p>
    <w:p>
      <w:pPr>
        <w:ind w:left="432" w:hanging="432"/>
      </w:pPr>
      <w:r>
        <w:t>10. Efron B, Tibshirani RJ. An Introduction to the Bootstrap. New York: Chapman &amp; Hall; 1993.</w:t>
      </w:r>
    </w:p>
    <w:p>
      <w:pPr>
        <w:ind w:left="432" w:hanging="432"/>
      </w:pPr>
      <w:r>
        <w:t>11. Tanaka J, Akita T, Ohisa M, Sakamune K, Ko K, Uchida S, et al. Trends in the total numbers of HBV and HCV carriers in Japan from 2000 to 2011. J Viral Hepat. 2018;25(4):363-372. https://doi.org/10.1111/jvh.12828</w:t>
      </w:r>
    </w:p>
    <w:p>
      <w:pPr>
        <w:ind w:left="432" w:hanging="432"/>
      </w:pPr>
      <w:r>
        <w:t>12.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13.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12 September 2026).</w:t>
      </w:r>
    </w:p>
    <w:p>
      <w:pPr>
        <w:ind w:left="432" w:hanging="432"/>
      </w:pPr>
      <w:r>
        <w:t>14. Setoyama H, Tanaka Y, Kanto T. Seamless support from screening to anti-HCV treatment and HCC/decompensated cirrhosis: subsidy programs for HCV elimination. Glob Health Med. 2021;3(5):335-342. https://doi.org/10.35772/ghm.2021.01079</w:t>
      </w:r>
    </w:p>
    <w:p>
      <w:pPr>
        <w:ind w:left="432" w:hanging="432"/>
      </w:pPr>
      <w:r>
        <w:t>15. Thompson WW, Symum H, Sandul A, Gupta N, Patel P, Nelson N, et al. Vital signs: hepatitis C treatment among insured adults - United States, 2019-2020. MMWR Morb Mortal Wkly Rep. 2022;71(32):1011-1017. https://doi.org/10.15585/mmwr.mm7132e1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