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STROBE Statement — checklist of items for reports of observational studies (cross-sectional / ecological adaptation)</w:t>
      </w:r>
    </w:p>
    <w:p>
      <w:r>
        <w:t>Strengthening the Reporting of Observational Studies in Epidemiology (STROBE). This study analyzes national aggregate drug-dispensing open data (no individual-level records); items are answered accordingly, with locations given by manuscript section rather than page number.</w:t>
      </w:r>
    </w:p>
    <w:tbl>
      <w:tblPr>
        <w:tblStyle w:val="TableGrid"/>
        <w:tblW w:type="auto" w:w="0"/>
        <w:tblLook w:firstColumn="1" w:firstRow="1" w:lastColumn="0" w:lastRow="0" w:noHBand="0" w:noVBand="1" w:val="04A0"/>
        <w:tblBorders>
          <w:left w:val="none" w:sz="0" w:space="0" w:color="auto"/>
          <w:right w:val="none" w:sz="0" w:space="0" w:color="auto"/>
          <w:insideV w:val="none" w:sz="0" w:space="0" w:color="auto"/>
        </w:tblBorders>
      </w:tblPr>
      <w:tblGrid>
        <w:gridCol w:w="2160"/>
        <w:gridCol w:w="2160"/>
        <w:gridCol w:w="2160"/>
        <w:gridCol w:w="2160"/>
      </w:tblGrid>
      <w:tr>
        <w:tc>
          <w:tcPr>
            <w:tcW w:type="dxa" w:w="2160"/>
          </w:tcPr>
          <w:p>
            <w:r>
              <w:rPr>
                <w:b/>
              </w:rPr>
              <w:t>Item No.</w:t>
            </w:r>
          </w:p>
        </w:tc>
        <w:tc>
          <w:tcPr>
            <w:tcW w:type="dxa" w:w="2160"/>
          </w:tcPr>
          <w:p>
            <w:r>
              <w:rPr>
                <w:b/>
              </w:rPr>
              <w:t>Section</w:t>
            </w:r>
          </w:p>
        </w:tc>
        <w:tc>
          <w:tcPr>
            <w:tcW w:type="dxa" w:w="2160"/>
          </w:tcPr>
          <w:p>
            <w:r>
              <w:rPr>
                <w:b/>
              </w:rPr>
              <w:t>STROBE recommendation</w:t>
            </w:r>
          </w:p>
        </w:tc>
        <w:tc>
          <w:tcPr>
            <w:tcW w:type="dxa" w:w="2160"/>
          </w:tcPr>
          <w:p>
            <w:r>
              <w:rPr>
                <w:b/>
              </w:rPr>
              <w:t>Location / response in manuscript</w:t>
            </w:r>
          </w:p>
        </w:tc>
      </w:tr>
      <w:tr>
        <w:tc>
          <w:tcPr>
            <w:tcW w:type="dxa" w:w="2160"/>
          </w:tcPr>
          <w:p>
            <w:r>
              <w:t>1</w:t>
            </w:r>
          </w:p>
        </w:tc>
        <w:tc>
          <w:tcPr>
            <w:tcW w:type="dxa" w:w="2160"/>
          </w:tcPr>
          <w:p>
            <w:r>
              <w:t>Title and abstract</w:t>
            </w:r>
          </w:p>
        </w:tc>
        <w:tc>
          <w:tcPr>
            <w:tcW w:type="dxa" w:w="2160"/>
          </w:tcPr>
          <w:p>
            <w:r>
              <w:t>(a) Indicate the study design with a commonly used term in the title or the abstract. (b) Provide in the abstract an informative and balanced summary of what was done and what was found.</w:t>
            </w:r>
          </w:p>
        </w:tc>
        <w:tc>
          <w:tcPr>
            <w:tcW w:type="dxa" w:w="2160"/>
          </w:tcPr>
          <w:p>
            <w:r>
              <w:t>Title and structured abstract describe an observational, ecological (national aggregate) drug-utilization time-series analysis of NDB Open Data; the abstract summarizes design, data, methods and headline results.</w:t>
            </w:r>
          </w:p>
        </w:tc>
      </w:tr>
      <w:tr>
        <w:tc>
          <w:tcPr>
            <w:tcW w:type="dxa" w:w="2160"/>
          </w:tcPr>
          <w:p>
            <w:r>
              <w:t>2</w:t>
            </w:r>
          </w:p>
        </w:tc>
        <w:tc>
          <w:tcPr>
            <w:tcW w:type="dxa" w:w="2160"/>
          </w:tcPr>
          <w:p>
            <w:r>
              <w:t>Background/rationale</w:t>
            </w:r>
          </w:p>
        </w:tc>
        <w:tc>
          <w:tcPr>
            <w:tcW w:type="dxa" w:w="2160"/>
          </w:tcPr>
          <w:p>
            <w:r>
              <w:t>Explain the scientific background and rationale for the investigation being reported.</w:t>
            </w:r>
          </w:p>
        </w:tc>
        <w:tc>
          <w:tcPr>
            <w:tcW w:type="dxa" w:w="2160"/>
          </w:tcPr>
          <w:p>
            <w:r>
              <w:t>Introduction explains why the speed at which a population leaves an established standard therapy after approval and reimbursement matters, and why the hepatitis C interferon -&gt; interferon-free DAA transition is an informative setting.</w:t>
            </w:r>
          </w:p>
        </w:tc>
      </w:tr>
      <w:tr>
        <w:tc>
          <w:tcPr>
            <w:tcW w:type="dxa" w:w="2160"/>
          </w:tcPr>
          <w:p>
            <w:r>
              <w:t>3</w:t>
            </w:r>
          </w:p>
        </w:tc>
        <w:tc>
          <w:tcPr>
            <w:tcW w:type="dxa" w:w="2160"/>
          </w:tcPr>
          <w:p>
            <w:r>
              <w:t>Objectives</w:t>
            </w:r>
          </w:p>
        </w:tc>
        <w:tc>
          <w:tcPr>
            <w:tcW w:type="dxa" w:w="2160"/>
          </w:tcPr>
          <w:p>
            <w:r>
              <w:t>State specific objectives, including any prespecified hypotheses.</w:t>
            </w:r>
          </w:p>
        </w:tc>
        <w:tc>
          <w:tcPr>
            <w:tcW w:type="dxa" w:w="2160"/>
          </w:tcPr>
          <w:p>
            <w:r>
              <w:t>Introduction states the two contrasting expectations: national dispensing of the prior standard therapy either falls steeply after the new option is approved and reimbursed, or changes slowly, indicating practical friction.</w:t>
            </w:r>
          </w:p>
        </w:tc>
      </w:tr>
      <w:tr>
        <w:tc>
          <w:tcPr>
            <w:tcW w:type="dxa" w:w="2160"/>
          </w:tcPr>
          <w:p>
            <w:r>
              <w:t>4</w:t>
            </w:r>
          </w:p>
        </w:tc>
        <w:tc>
          <w:tcPr>
            <w:tcW w:type="dxa" w:w="2160"/>
          </w:tcPr>
          <w:p>
            <w:r>
              <w:t>Study design</w:t>
            </w:r>
          </w:p>
        </w:tc>
        <w:tc>
          <w:tcPr>
            <w:tcW w:type="dxa" w:w="2160"/>
          </w:tcPr>
          <w:p>
            <w:r>
              <w:t>Present key elements of study design early in the paper.</w:t>
            </w:r>
          </w:p>
        </w:tc>
        <w:tc>
          <w:tcPr>
            <w:tcW w:type="dxa" w:w="2160"/>
          </w:tcPr>
          <w:p>
            <w:r>
              <w:t>Methods: ecological/descriptive analysis of national annual dispensed quantity (FY2014-FY2024); no individual-level data; no pre-intervention baseline within NDB, so descriptive trend models rather than a causal interrupted time series.</w:t>
            </w:r>
          </w:p>
        </w:tc>
      </w:tr>
      <w:tr>
        <w:tc>
          <w:tcPr>
            <w:tcW w:type="dxa" w:w="2160"/>
          </w:tcPr>
          <w:p>
            <w:r>
              <w:t>5</w:t>
            </w:r>
          </w:p>
        </w:tc>
        <w:tc>
          <w:tcPr>
            <w:tcW w:type="dxa" w:w="2160"/>
          </w:tcPr>
          <w:p>
            <w:r>
              <w:t>Setting</w:t>
            </w:r>
          </w:p>
        </w:tc>
        <w:tc>
          <w:tcPr>
            <w:tcW w:type="dxa" w:w="2160"/>
          </w:tcPr>
          <w:p>
            <w:r>
              <w:t>Describe the setting, locations, and relevant dates, including periods of recruitment, exposure, follow-up, and data collection.</w:t>
            </w:r>
          </w:p>
        </w:tc>
        <w:tc>
          <w:tcPr>
            <w:tcW w:type="dxa" w:w="2160"/>
          </w:tcPr>
          <w:p>
            <w:r>
              <w:t>Methods: Japan, nationwide; NDB Open Data editions 1-11 mapped to fiscal years 2014-2024; approval/reimbursement milestones tabulated (Table 1).</w:t>
            </w:r>
          </w:p>
        </w:tc>
      </w:tr>
      <w:tr>
        <w:tc>
          <w:tcPr>
            <w:tcW w:type="dxa" w:w="2160"/>
          </w:tcPr>
          <w:p>
            <w:r>
              <w:t>6</w:t>
            </w:r>
          </w:p>
        </w:tc>
        <w:tc>
          <w:tcPr>
            <w:tcW w:type="dxa" w:w="2160"/>
          </w:tcPr>
          <w:p>
            <w:r>
              <w:t>Participants</w:t>
            </w:r>
          </w:p>
        </w:tc>
        <w:tc>
          <w:tcPr>
            <w:tcW w:type="dxa" w:w="2160"/>
          </w:tcPr>
          <w:p>
            <w:r>
              <w:t>Give the eligibility criteria, and the sources and methods of selection of participants (cross-sectional).</w:t>
            </w:r>
          </w:p>
        </w:tc>
        <w:tc>
          <w:tcPr>
            <w:tcW w:type="dxa" w:w="2160"/>
          </w:tcPr>
          <w:p>
            <w:r>
              <w:t>No individual participants: the unit is national aggregate dispensed quantity per drug per fiscal year, extracted for all records of the target products. Stated explicitly in Methods and Limitations (ecological data, not patient counts).</w:t>
            </w:r>
          </w:p>
        </w:tc>
      </w:tr>
      <w:tr>
        <w:tc>
          <w:tcPr>
            <w:tcW w:type="dxa" w:w="2160"/>
          </w:tcPr>
          <w:p>
            <w:r>
              <w:t>7</w:t>
            </w:r>
          </w:p>
        </w:tc>
        <w:tc>
          <w:tcPr>
            <w:tcW w:type="dxa" w:w="2160"/>
          </w:tcPr>
          <w:p>
            <w:r>
              <w:t>Variables</w:t>
            </w:r>
          </w:p>
        </w:tc>
        <w:tc>
          <w:tcPr>
            <w:tcW w:type="dxa" w:w="2160"/>
          </w:tcPr>
          <w:p>
            <w:r>
              <w:t>Clearly define all outcomes, exposures, predictors, potential confounders, and effect modifiers.</w:t>
            </w:r>
          </w:p>
        </w:tc>
        <w:tc>
          <w:tcPr>
            <w:tcW w:type="dxa" w:w="2160"/>
          </w:tcPr>
          <w:p>
            <w:r>
              <w:t>Methods: outcome = national dispensed quantity by drug group (peginterferon, conventional IFN, ribavirin, first-generation IFN-based protease inhibitors, interferon-free DAAs); milestones = dated approval and NHI drug-price listings; no measure of media coverage was available; potential secular confounders (e.g. COVID-19) and the hepatitis treatment subsidy program are discussed.</w:t>
            </w:r>
          </w:p>
        </w:tc>
      </w:tr>
      <w:tr>
        <w:tc>
          <w:tcPr>
            <w:tcW w:type="dxa" w:w="2160"/>
          </w:tcPr>
          <w:p>
            <w:r>
              <w:t>8</w:t>
            </w:r>
          </w:p>
        </w:tc>
        <w:tc>
          <w:tcPr>
            <w:tcW w:type="dxa" w:w="2160"/>
          </w:tcPr>
          <w:p>
            <w:r>
              <w:t>Data sources/measurement</w:t>
            </w:r>
          </w:p>
        </w:tc>
        <w:tc>
          <w:tcPr>
            <w:tcW w:type="dxa" w:w="2160"/>
          </w:tcPr>
          <w:p>
            <w:r>
              <w:t>For each variable of interest, give sources of data and details of methods of assessment (measurement).</w:t>
            </w:r>
          </w:p>
        </w:tc>
        <w:tc>
          <w:tcPr>
            <w:tcW w:type="dxa" w:w="2160"/>
          </w:tcPr>
          <w:p>
            <w:r>
              <w:t>Methods and Data/code availability: MHLW NDB Open Data workbooks (sex/age x drug quantity tables); metric is total dispensed quantity (tablets/capsules or syringes/vials). Product classification listed; extraction code in the repository.</w:t>
            </w:r>
          </w:p>
        </w:tc>
      </w:tr>
      <w:tr>
        <w:tc>
          <w:tcPr>
            <w:tcW w:type="dxa" w:w="2160"/>
          </w:tcPr>
          <w:p>
            <w:r>
              <w:t>9</w:t>
            </w:r>
          </w:p>
        </w:tc>
        <w:tc>
          <w:tcPr>
            <w:tcW w:type="dxa" w:w="2160"/>
          </w:tcPr>
          <w:p>
            <w:r>
              <w:t>Bias</w:t>
            </w:r>
          </w:p>
        </w:tc>
        <w:tc>
          <w:tcPr>
            <w:tcW w:type="dxa" w:w="2160"/>
          </w:tcPr>
          <w:p>
            <w:r>
              <w:t>Describe any efforts to address potential sources of bias.</w:t>
            </w:r>
          </w:p>
        </w:tc>
        <w:tc>
          <w:tcPr>
            <w:tcW w:type="dxa" w:w="2160"/>
          </w:tcPr>
          <w:p>
            <w:r>
              <w:t>Methods/Limitations: first-generation IFN-based protease inhibitors separated from interferon-free DAAs to avoid misclassification; units are not summed across products with different dosage units; absence of a pre-2014 baseline and lack of a control condition are stated as biases limiting causal inference.</w:t>
            </w:r>
          </w:p>
        </w:tc>
      </w:tr>
      <w:tr>
        <w:tc>
          <w:tcPr>
            <w:tcW w:type="dxa" w:w="2160"/>
          </w:tcPr>
          <w:p>
            <w:r>
              <w:t>10</w:t>
            </w:r>
          </w:p>
        </w:tc>
        <w:tc>
          <w:tcPr>
            <w:tcW w:type="dxa" w:w="2160"/>
          </w:tcPr>
          <w:p>
            <w:r>
              <w:t>Study size</w:t>
            </w:r>
          </w:p>
        </w:tc>
        <w:tc>
          <w:tcPr>
            <w:tcW w:type="dxa" w:w="2160"/>
          </w:tcPr>
          <w:p>
            <w:r>
              <w:t>Explain how the study size was arrived at.</w:t>
            </w:r>
          </w:p>
        </w:tc>
        <w:tc>
          <w:tcPr>
            <w:tcW w:type="dxa" w:w="2160"/>
          </w:tcPr>
          <w:p>
            <w:r>
              <w:t>Methods: the study uses the complete set of national annual observations available in NDB Open Data (n=11 fiscal years); no sampling. Small n is flagged as a driver of wide uncertainty intervals.</w:t>
            </w:r>
          </w:p>
        </w:tc>
      </w:tr>
      <w:tr>
        <w:tc>
          <w:tcPr>
            <w:tcW w:type="dxa" w:w="2160"/>
          </w:tcPr>
          <w:p>
            <w:r>
              <w:t>11</w:t>
            </w:r>
          </w:p>
        </w:tc>
        <w:tc>
          <w:tcPr>
            <w:tcW w:type="dxa" w:w="2160"/>
          </w:tcPr>
          <w:p>
            <w:r>
              <w:t>Quantitative variables</w:t>
            </w:r>
          </w:p>
        </w:tc>
        <w:tc>
          <w:tcPr>
            <w:tcW w:type="dxa" w:w="2160"/>
          </w:tcPr>
          <w:p>
            <w:r>
              <w:t>Explain how quantitative variables were handled in the analyses.</w:t>
            </w:r>
          </w:p>
        </w:tc>
        <w:tc>
          <w:tcPr>
            <w:tcW w:type="dxa" w:w="2160"/>
          </w:tcPr>
          <w:p>
            <w:r>
              <w:t>Methods: log-scale trend modelling; treatment-course sensitivity converts dispensed quantity to approximate courses using documented daily dose x duration (data/daa_course_assumptions.csv, data/ifn_course_assumptions.csv), counting one anchor product per two-drug regimen.</w:t>
            </w:r>
          </w:p>
        </w:tc>
      </w:tr>
      <w:tr>
        <w:tc>
          <w:tcPr>
            <w:tcW w:type="dxa" w:w="2160"/>
          </w:tcPr>
          <w:p>
            <w:r>
              <w:t>12</w:t>
            </w:r>
          </w:p>
        </w:tc>
        <w:tc>
          <w:tcPr>
            <w:tcW w:type="dxa" w:w="2160"/>
          </w:tcPr>
          <w:p>
            <w:r>
              <w:t>Statistical methods</w:t>
            </w:r>
          </w:p>
        </w:tc>
        <w:tc>
          <w:tcPr>
            <w:tcW w:type="dxa" w:w="2160"/>
          </w:tcPr>
          <w:p>
            <w:r>
              <w:t>(a) Describe all statistical methods, including those used to control for confounding. (b) sensitivity analyses.</w:t>
            </w:r>
          </w:p>
        </w:tc>
        <w:tc>
          <w:tcPr>
            <w:tcW w:type="dxa" w:w="2160"/>
          </w:tcPr>
          <w:p>
            <w:r>
              <w:t>Methods: segmented (broken-stick) log-linear regression with a knot at the observed DAA peak, exponential/log-linear decay for IFN groups, Newey-West (HAC) standard errors and residual-bootstrap 95% intervals; duration-based sensitivity analysis for course estimates. Effect estimates are reported with 95% confidence intervals and model-based P values where applicable; segmented-regression inference was interpreted cautiously because the knot was fixed at the observed peak and the pre-peak segment contained only two observations.</w:t>
            </w:r>
          </w:p>
        </w:tc>
      </w:tr>
      <w:tr>
        <w:tc>
          <w:tcPr>
            <w:tcW w:type="dxa" w:w="2160"/>
          </w:tcPr>
          <w:p>
            <w:r>
              <w:t>13</w:t>
            </w:r>
          </w:p>
        </w:tc>
        <w:tc>
          <w:tcPr>
            <w:tcW w:type="dxa" w:w="2160"/>
          </w:tcPr>
          <w:p>
            <w:r>
              <w:t>Participants (results)</w:t>
            </w:r>
          </w:p>
        </w:tc>
        <w:tc>
          <w:tcPr>
            <w:tcW w:type="dxa" w:w="2160"/>
          </w:tcPr>
          <w:p>
            <w:r>
              <w:t>(a) Report numbers of individuals at each stage. (b) reasons for non-participation. (c) consider a flow diagram.</w:t>
            </w:r>
          </w:p>
        </w:tc>
        <w:tc>
          <w:tcPr>
            <w:tcW w:type="dxa" w:w="2160"/>
          </w:tcPr>
          <w:p>
            <w:r>
              <w:t>Not applicable at the individual level (aggregate open data). Results and Methods report the data units: 11 fiscal years x drug groups; 9 distinct interferon-free DAA products and 3 first-generation IFN-based protease inhibitors.</w:t>
            </w:r>
          </w:p>
        </w:tc>
      </w:tr>
      <w:tr>
        <w:tc>
          <w:tcPr>
            <w:tcW w:type="dxa" w:w="2160"/>
          </w:tcPr>
          <w:p>
            <w:r>
              <w:t>14</w:t>
            </w:r>
          </w:p>
        </w:tc>
        <w:tc>
          <w:tcPr>
            <w:tcW w:type="dxa" w:w="2160"/>
          </w:tcPr>
          <w:p>
            <w:r>
              <w:t>Descriptive data</w:t>
            </w:r>
          </w:p>
        </w:tc>
        <w:tc>
          <w:tcPr>
            <w:tcW w:type="dxa" w:w="2160"/>
          </w:tcPr>
          <w:p>
            <w:r>
              <w:t>(a) Give characteristics of study participants and information on exposures and potential confounders. (b) missing data. (c) follow-up (cohort).</w:t>
            </w:r>
          </w:p>
        </w:tc>
        <w:tc>
          <w:tcPr>
            <w:tcW w:type="dxa" w:w="2160"/>
          </w:tcPr>
          <w:p>
            <w:r>
              <w:t>Results and Table 2: national dispensed quantity by group and fiscal year. Products absent in a given year appear as zero; no imputation. Milestones in Table 1.</w:t>
            </w:r>
          </w:p>
        </w:tc>
      </w:tr>
      <w:tr>
        <w:tc>
          <w:tcPr>
            <w:tcW w:type="dxa" w:w="2160"/>
          </w:tcPr>
          <w:p>
            <w:r>
              <w:t>15</w:t>
            </w:r>
          </w:p>
        </w:tc>
        <w:tc>
          <w:tcPr>
            <w:tcW w:type="dxa" w:w="2160"/>
          </w:tcPr>
          <w:p>
            <w:r>
              <w:t>Outcome data</w:t>
            </w:r>
          </w:p>
        </w:tc>
        <w:tc>
          <w:tcPr>
            <w:tcW w:type="dxa" w:w="2160"/>
          </w:tcPr>
          <w:p>
            <w:r>
              <w:t>Report numbers of outcome events or summary measures (cross-sectional).</w:t>
            </w:r>
          </w:p>
        </w:tc>
        <w:tc>
          <w:tcPr>
            <w:tcW w:type="dxa" w:w="2160"/>
          </w:tcPr>
          <w:p>
            <w:r>
              <w:t>Results, Table 2, Figures 1-2: annual dispensed quantities and their changes; Figure 3 and Table 3 report estimated treatment courses and the DAA share of them (labelled estimates).</w:t>
            </w:r>
          </w:p>
        </w:tc>
      </w:tr>
      <w:tr>
        <w:tc>
          <w:tcPr>
            <w:tcW w:type="dxa" w:w="2160"/>
          </w:tcPr>
          <w:p>
            <w:r>
              <w:t>16</w:t>
            </w:r>
          </w:p>
        </w:tc>
        <w:tc>
          <w:tcPr>
            <w:tcW w:type="dxa" w:w="2160"/>
          </w:tcPr>
          <w:p>
            <w:r>
              <w:t>Main results</w:t>
            </w:r>
          </w:p>
        </w:tc>
        <w:tc>
          <w:tcPr>
            <w:tcW w:type="dxa" w:w="2160"/>
          </w:tcPr>
          <w:p>
            <w:r>
              <w:t>(a) Give unadjusted and adjusted estimates and their precision. (b) category boundaries. (c) translate relative to absolute risk if relevant.</w:t>
            </w:r>
          </w:p>
        </w:tc>
        <w:tc>
          <w:tcPr>
            <w:tcW w:type="dxa" w:w="2160"/>
          </w:tcPr>
          <w:p>
            <w:r>
              <w:t>Results: peginterferon -99.3% (FY2014 to FY2024); protease inhibitors below the NDB publication threshold from FY2016; ribavirin (used in both regimens) below the threshold from FY2020; DAA peak FY2015 then -94% (upper-bound series -94%); estimated combined treatment volume peaked in FY2015 and fell 91.4%; annual rates with HAC/bootstrap 95% intervals and slope-change P values from segmented regression.</w:t>
            </w:r>
          </w:p>
        </w:tc>
      </w:tr>
      <w:tr>
        <w:tc>
          <w:tcPr>
            <w:tcW w:type="dxa" w:w="2160"/>
          </w:tcPr>
          <w:p>
            <w:r>
              <w:t>17</w:t>
            </w:r>
          </w:p>
        </w:tc>
        <w:tc>
          <w:tcPr>
            <w:tcW w:type="dxa" w:w="2160"/>
          </w:tcPr>
          <w:p>
            <w:r>
              <w:t>Other analyses</w:t>
            </w:r>
          </w:p>
        </w:tc>
        <w:tc>
          <w:tcPr>
            <w:tcW w:type="dxa" w:w="2160"/>
          </w:tcPr>
          <w:p>
            <w:r>
              <w:t>Report other analyses done (e.g. subgroups, interactions, sensitivity analyses).</w:t>
            </w:r>
          </w:p>
        </w:tc>
        <w:tc>
          <w:tcPr>
            <w:tcW w:type="dxa" w:w="2160"/>
          </w:tcPr>
          <w:p>
            <w:r>
              <w:t>Results: product-level DAA breakdown (Figure 2) and treatment-course sensitivity under baseline vs longer-duration assumptions (Table 3; cumulative 270,939-305,499 estimated DAA courses).</w:t>
            </w:r>
          </w:p>
        </w:tc>
      </w:tr>
      <w:tr>
        <w:tc>
          <w:tcPr>
            <w:tcW w:type="dxa" w:w="2160"/>
          </w:tcPr>
          <w:p>
            <w:r>
              <w:t>18</w:t>
            </w:r>
          </w:p>
        </w:tc>
        <w:tc>
          <w:tcPr>
            <w:tcW w:type="dxa" w:w="2160"/>
          </w:tcPr>
          <w:p>
            <w:r>
              <w:t>Key results</w:t>
            </w:r>
          </w:p>
        </w:tc>
        <w:tc>
          <w:tcPr>
            <w:tcW w:type="dxa" w:w="2160"/>
          </w:tcPr>
          <w:p>
            <w:r>
              <w:t>Summarise key results with reference to study objectives.</w:t>
            </w:r>
          </w:p>
        </w:tc>
        <w:tc>
          <w:tcPr>
            <w:tcW w:type="dxa" w:w="2160"/>
          </w:tcPr>
          <w:p>
            <w:r>
              <w:t>Discussion opens by answering the question posed in the Introduction: dispensing shifted to interferon-free regimens within one fiscal year of reimbursement on the estimated-course scale, so annual-scale friction was small in this case.</w:t>
            </w:r>
          </w:p>
        </w:tc>
      </w:tr>
      <w:tr>
        <w:tc>
          <w:tcPr>
            <w:tcW w:type="dxa" w:w="2160"/>
          </w:tcPr>
          <w:p>
            <w:r>
              <w:t>19</w:t>
            </w:r>
          </w:p>
        </w:tc>
        <w:tc>
          <w:tcPr>
            <w:tcW w:type="dxa" w:w="2160"/>
          </w:tcPr>
          <w:p>
            <w:r>
              <w:t>Limitations</w:t>
            </w:r>
          </w:p>
        </w:tc>
        <w:tc>
          <w:tcPr>
            <w:tcW w:type="dxa" w:w="2160"/>
          </w:tcPr>
          <w:p>
            <w:r>
              <w:t>Discuss limitations, taking into account sources of potential bias or imprecision.</w:t>
            </w:r>
          </w:p>
        </w:tc>
        <w:tc>
          <w:tcPr>
            <w:tcW w:type="dxa" w:w="2160"/>
          </w:tcPr>
          <w:p>
            <w:r>
              <w:t>Limitations: no pre-2014 baseline within NDB; dispensed quantity != patient counts; annual resolution precludes within-year ITS; small n; no control/placebo event; COVID-19 and other FY2020+ secular changes cannot be separated from the DAA decline; course figures are estimates dependent on regimen assumptions; ribavirin cannot be assigned to either regimen; media coverage and exposure to it were not measured.</w:t>
            </w:r>
          </w:p>
        </w:tc>
      </w:tr>
      <w:tr>
        <w:tc>
          <w:tcPr>
            <w:tcW w:type="dxa" w:w="2160"/>
          </w:tcPr>
          <w:p>
            <w:r>
              <w:t>20</w:t>
            </w:r>
          </w:p>
        </w:tc>
        <w:tc>
          <w:tcPr>
            <w:tcW w:type="dxa" w:w="2160"/>
          </w:tcPr>
          <w:p>
            <w:r>
              <w:t>Interpretation</w:t>
            </w:r>
          </w:p>
        </w:tc>
        <w:tc>
          <w:tcPr>
            <w:tcW w:type="dxa" w:w="2160"/>
          </w:tcPr>
          <w:p>
            <w:r>
              <w:t>Give a cautious overall interpretation considering objectives, limitations, multiplicity, and other relevant evidence.</w:t>
            </w:r>
          </w:p>
        </w:tc>
        <w:tc>
          <w:tcPr>
            <w:tcW w:type="dxa" w:w="2160"/>
          </w:tcPr>
          <w:p>
            <w:r>
              <w:t>Discussion/Conclusions: interpretation limited to the speed of the observed displacement; the surge-then-decay pattern is presented as consistent with a curative therapy working through a prevalent pool and with accumulated demand, without claiming to distinguish them or any individual-level cause.</w:t>
            </w:r>
          </w:p>
        </w:tc>
      </w:tr>
      <w:tr>
        <w:tc>
          <w:tcPr>
            <w:tcW w:type="dxa" w:w="2160"/>
          </w:tcPr>
          <w:p>
            <w:r>
              <w:t>21</w:t>
            </w:r>
          </w:p>
        </w:tc>
        <w:tc>
          <w:tcPr>
            <w:tcW w:type="dxa" w:w="2160"/>
          </w:tcPr>
          <w:p>
            <w:r>
              <w:t>Generalisability</w:t>
            </w:r>
          </w:p>
        </w:tc>
        <w:tc>
          <w:tcPr>
            <w:tcW w:type="dxa" w:w="2160"/>
          </w:tcPr>
          <w:p>
            <w:r>
              <w:t>Discuss the generalisability (external validity) of the study results.</w:t>
            </w:r>
          </w:p>
        </w:tc>
        <w:tc>
          <w:tcPr>
            <w:tcW w:type="dxa" w:w="2160"/>
          </w:tcPr>
          <w:p>
            <w:r>
              <w:t>Discussion: the speed observed here reflects a decisively better therapy, prompt NHI listing, and subsidized affordability in a population with a large diagnosed backlog; contrast with lower DAA uptake among insured US adults shows it may not generalize to other therapies or health systems.</w:t>
            </w:r>
          </w:p>
        </w:tc>
      </w:tr>
      <w:tr>
        <w:tc>
          <w:tcPr>
            <w:tcW w:type="dxa" w:w="2160"/>
          </w:tcPr>
          <w:p>
            <w:r>
              <w:t>22</w:t>
            </w:r>
          </w:p>
        </w:tc>
        <w:tc>
          <w:tcPr>
            <w:tcW w:type="dxa" w:w="2160"/>
          </w:tcPr>
          <w:p>
            <w:r>
              <w:t>Funding</w:t>
            </w:r>
          </w:p>
        </w:tc>
        <w:tc>
          <w:tcPr>
            <w:tcW w:type="dxa" w:w="2160"/>
          </w:tcPr>
          <w:p>
            <w:r>
              <w:t>Give the source of funding and the role of the funders for the present study and, if applicable, for the original study on which the present article is based.</w:t>
            </w:r>
          </w:p>
        </w:tc>
        <w:tc>
          <w:tcPr>
            <w:tcW w:type="dxa" w:w="2160"/>
          </w:tcPr>
          <w:p>
            <w:r>
              <w:t>Funding statement: no specific grant. Data are public NDB Open Data (MHLW).</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