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</w:rPr>
        <w:t>Table 10. Propensity-score weighted collapse rates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Closure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Weighted collapse rate (treat)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Weighted collapse rate (open)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 difference</w:t>
            </w:r>
          </w:p>
        </w:tc>
      </w:tr>
      <w:tr>
        <w:tc>
          <w:tcPr>
            <w:tcW w:type="dxa" w:w="1728"/>
          </w:tcPr>
          <w:p>
            <w:r>
              <w:t>bloc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0.606</w:t>
            </w:r>
          </w:p>
        </w:tc>
        <w:tc>
          <w:tcPr>
            <w:tcW w:type="dxa" w:w="1728"/>
          </w:tcPr>
          <w:p>
            <w:r>
              <w:t>0.394</w:t>
            </w:r>
          </w:p>
        </w:tc>
      </w:tr>
      <w:tr>
        <w:tc>
          <w:tcPr>
            <w:tcW w:type="dxa" w:w="1728"/>
          </w:tcPr>
          <w:p>
            <w:r>
              <w:t>land_isolation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0.811</w:t>
            </w:r>
          </w:p>
        </w:tc>
        <w:tc>
          <w:tcPr>
            <w:tcW w:type="dxa" w:w="1728"/>
          </w:tcPr>
          <w:p>
            <w:r>
              <w:t>0.62</w:t>
            </w:r>
          </w:p>
        </w:tc>
        <w:tc>
          <w:tcPr>
            <w:tcW w:type="dxa" w:w="1728"/>
          </w:tcPr>
          <w:p>
            <w:r>
              <w:t>0.191</w:t>
            </w:r>
          </w:p>
        </w:tc>
      </w:tr>
      <w:tr>
        <w:tc>
          <w:tcPr>
            <w:tcW w:type="dxa" w:w="1728"/>
          </w:tcPr>
          <w:p>
            <w:r>
              <w:t>maritime_ban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0.686</w:t>
            </w:r>
          </w:p>
        </w:tc>
        <w:tc>
          <w:tcPr>
            <w:tcW w:type="dxa" w:w="1728"/>
          </w:tcPr>
          <w:p>
            <w:r>
              <w:t>0.652</w:t>
            </w:r>
          </w:p>
        </w:tc>
        <w:tc>
          <w:tcPr>
            <w:tcW w:type="dxa" w:w="1728"/>
          </w:tcPr>
          <w:p>
            <w:r>
              <w:t>0.033</w:t>
            </w:r>
          </w:p>
        </w:tc>
      </w:tr>
      <w:tr>
        <w:tc>
          <w:tcPr>
            <w:tcW w:type="dxa" w:w="1728"/>
          </w:tcPr>
          <w:p>
            <w:r>
              <w:t>patron_open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0.625</w:t>
            </w:r>
          </w:p>
        </w:tc>
        <w:tc>
          <w:tcPr>
            <w:tcW w:type="dxa" w:w="1728"/>
          </w:tcPr>
          <w:p>
            <w:r>
              <w:t>0.375</w:t>
            </w:r>
          </w:p>
        </w:tc>
      </w:tr>
      <w:tr>
        <w:tc>
          <w:tcPr>
            <w:tcW w:type="dxa" w:w="1728"/>
          </w:tcPr>
          <w:p>
            <w:r>
              <w:t>tech_network_exclusion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0.858</w:t>
            </w:r>
          </w:p>
        </w:tc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0.158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