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3. Collapse rates by source-anchored closure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rater_closure_type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collapsed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collapse_rate</w:t>
            </w:r>
          </w:p>
        </w:tc>
      </w:tr>
      <w:tr>
        <w:tc>
          <w:tcPr>
            <w:tcW w:type="dxa" w:w="2160"/>
          </w:tcPr>
          <w:p>
            <w:r>
              <w:t>bloc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land_isolation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0.833</w:t>
            </w:r>
          </w:p>
        </w:tc>
      </w:tr>
      <w:tr>
        <w:tc>
          <w:tcPr>
            <w:tcW w:type="dxa" w:w="2160"/>
          </w:tcPr>
          <w:p>
            <w:r>
              <w:t>maritime_ban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0.714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0.636</w:t>
            </w:r>
          </w:p>
        </w:tc>
      </w:tr>
      <w:tr>
        <w:tc>
          <w:tcPr>
            <w:tcW w:type="dxa" w:w="2160"/>
          </w:tcPr>
          <w:p>
            <w:r>
              <w:t>patron_open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tech_network_exclusion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uncertain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