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 w:val="0"/>
        </w:rPr>
        <w:t>Dear Editors,</w:t>
      </w:r>
    </w:p>
    <w:p>
      <w:r>
        <w:rPr>
          <w:i w:val="0"/>
        </w:rPr>
        <w:t xml:space="preserve">We submit "Carry It Without Me: A Cyclical Theory of Normative Internalisation, Normative Release, and Religious Renewal" for consideration in </w:t>
      </w:r>
      <w:r>
        <w:rPr>
          <w:i/>
        </w:rPr>
        <w:t>Religion</w:t>
      </w:r>
      <w:r>
        <w:rPr>
          <w:i w:val="0"/>
        </w:rPr>
        <w:t>.</w:t>
      </w:r>
    </w:p>
    <w:p>
      <w:r>
        <w:rPr>
          <w:i w:val="0"/>
        </w:rPr>
        <w:t xml:space="preserve">The paper asks a simple but consequential question that theories of religious transmission rarely follow through to their endpoint: what becomes of the religious representation once humans can carry the norm without it? Cognitive and evolutionary accounts explain how supernatural representations transmit and stabilise norms; norm theory explains how such norms become internalised. What remains under-theorised is not how religion transmits norms, nor how norms become internalised, but what happens to the religious carrier after that internalisation succeeds. We introduce </w:t>
      </w:r>
      <w:r>
        <w:rPr>
          <w:i/>
        </w:rPr>
        <w:t>normative release</w:t>
      </w:r>
      <w:r>
        <w:rPr>
          <w:i w:val="0"/>
        </w:rPr>
        <w:t xml:space="preserve"> to describe the process by which a norm's reproduction becomes independent of the continued explicit salience of the representation that carried it.</w:t>
      </w:r>
    </w:p>
    <w:p>
      <w:r>
        <w:rPr>
          <w:i w:val="0"/>
        </w:rPr>
        <w:t xml:space="preserve">The article is in direct conversation with scholarship published in </w:t>
      </w:r>
      <w:r>
        <w:rPr>
          <w:i/>
        </w:rPr>
        <w:t>Religion</w:t>
      </w:r>
      <w:r>
        <w:rPr>
          <w:i w:val="0"/>
        </w:rPr>
        <w:t>. Talmont-Kaminski and Shults's theory of religion as vestigial structure is the paper's nearest interlocutor, and we show the two models are complementary rather than rival—the survivors are inverted: in vestigialisation the structure persists while function fades; in normative release the norm persists while the scaffold recedes. We also place the proposal in dialogue with Anscombe's surviving "law conception," Nietzsche's shadows of God, and the religion-residue literature, and we derive a self-effacement paradox: a tradition may become least visible where a transmissive function has succeeded most completely. A norm-specific cyclical model reframes revival as selective reintegration of dormant normative repertoires rather than restoration.</w:t>
      </w:r>
    </w:p>
    <w:p>
      <w:r>
        <w:rPr>
          <w:i w:val="0"/>
        </w:rPr>
        <w:t>The contribution is theoretical, calibrated, and falsifiable: we state six conditions under which the concept fails, and we make no claim that religion exists to carry norms or that decline is secretly triumph.</w:t>
      </w:r>
    </w:p>
    <w:p>
      <w:r>
        <w:rPr>
          <w:i w:val="0"/>
        </w:rPr>
        <w:t xml:space="preserve">The manuscript is original, not under consideration elsewhere, and all cited works have been verified. We hope it finds a home in </w:t>
      </w:r>
      <w:r>
        <w:rPr>
          <w:i/>
        </w:rPr>
        <w:t>Religion</w:t>
      </w:r>
      <w:r>
        <w:rPr>
          <w:i w:val="0"/>
        </w:rPr>
        <w:t>'s ongoing conversation about what religion is and how it changes.</w:t>
      </w:r>
    </w:p>
    <w:p>
      <w:r>
        <w:rPr>
          <w:i w:val="0"/>
        </w:rPr>
        <w:t>Sincerely,</w:t>
      </w:r>
    </w:p>
    <w:p>
      <w:r>
        <w:rPr>
          <w:i w:val="0"/>
        </w:rPr>
        <w:t>[Author]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