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80" w:lineRule="auto"/>
        <w:jc w:val="center"/>
      </w:pPr>
      <w:r>
        <w:rPr>
          <w:rFonts w:ascii="Times New Roman" w:hAnsi="Times New Roman"/>
          <w:b/>
          <w:sz w:val="28"/>
        </w:rPr>
        <w:t>Carry It Without Me: A Cyclical Theory of Normative Internalisation, Normative Release, and Religious Renewal</w:t>
      </w:r>
    </w:p>
    <w:p>
      <w:pPr>
        <w:spacing w:before="0" w:after="120" w:line="480" w:lineRule="auto"/>
        <w:jc w:val="center"/>
      </w:pPr>
      <w:r>
        <w:rPr>
          <w:rFonts w:ascii="Times New Roman" w:hAnsi="Times New Roman"/>
          <w:i/>
          <w:sz w:val="24"/>
        </w:rPr>
        <w:t>[Author name and affiliation omitted]</w:t>
      </w:r>
    </w:p>
    <w:p>
      <w:pPr>
        <w:spacing w:before="0" w:after="120"/>
      </w:pPr>
      <w:r>
        <w:rPr>
          <w:rFonts w:ascii="Times New Roman" w:hAnsi="Times New Roman"/>
          <w:b/>
          <w:sz w:val="26"/>
        </w:rPr>
        <w:t>Abstract</w:t>
      </w:r>
    </w:p>
    <w:p>
      <w:pPr>
        <w:spacing w:before="0" w:after="120" w:line="480" w:lineRule="auto"/>
      </w:pPr>
      <w:r>
        <w:rPr>
          <w:rFonts w:ascii="Times New Roman" w:hAnsi="Times New Roman"/>
          <w:sz w:val="24"/>
        </w:rPr>
        <w:t xml:space="preserve">Existing research has extensively examined how religious representations help transmit and enforce social norms and how externally supported norms become internalised. Less attention has been given to the subsequent fate of the religious representation itself. This article introduces </w:t>
      </w:r>
      <w:r>
        <w:rPr>
          <w:rFonts w:ascii="Times New Roman" w:hAnsi="Times New Roman"/>
          <w:i/>
          <w:sz w:val="24"/>
        </w:rPr>
        <w:t>normative release</w:t>
      </w:r>
      <w:r>
        <w:rPr>
          <w:rFonts w:ascii="Times New Roman" w:hAnsi="Times New Roman"/>
          <w:sz w:val="24"/>
        </w:rPr>
        <w:t xml:space="preserve">: the process by which a norm becomes sufficiently embedded in ordinary social life that its reproduction becomes progressively independent of the continued explicit salience of the religious, supernatural, or personified representation through which it was previously transmitted. Normative release is distinguished from four accounts of post-religious persistence—Anscombe's surviving "law conception of ethics," Nietzsche's shadows of God, the individual-level "religion residue" effect, and Talmont-Kaminski and Shults's theory of religion as vestigial structure—by an inversion in what is taken to survive. In normative release, the religious scaffold recedes while the </w:t>
      </w:r>
      <w:r>
        <w:rPr>
          <w:rFonts w:ascii="Times New Roman" w:hAnsi="Times New Roman"/>
          <w:i/>
          <w:sz w:val="24"/>
        </w:rPr>
        <w:t>norm</w:t>
      </w:r>
      <w:r>
        <w:rPr>
          <w:rFonts w:ascii="Times New Roman" w:hAnsi="Times New Roman"/>
          <w:sz w:val="24"/>
        </w:rPr>
        <w:t xml:space="preserve"> remains and continues to reproduce. The concept yields a "self-effacement paradox": a tradition may become least visible precisely where one of its transmissive functions has succeeded most completely. Embedding release in a norm-specific cyclical model—problem, norm, religious scaffold, narrative and ritual, recursive incorporation, internalisation, release, contextual change, new problem—reframes religious decline and revival without reducing either to failure or restoration. Revival is reconceived as the critical retrieval and selective reintegration of dormant normative repertoires under changed conditions. The article specifies falsification conditions and asks whether normative adaptability differs between traditions that permit sacred representations to complete particular transmissive roles and traditions that require the same divine authority to adjudicate indefinitely.</w:t>
      </w:r>
    </w:p>
    <w:p>
      <w:pPr>
        <w:spacing w:before="0" w:after="120" w:line="480" w:lineRule="auto"/>
      </w:pPr>
      <w:r>
        <w:rPr>
          <w:rFonts w:ascii="Times New Roman" w:hAnsi="Times New Roman"/>
          <w:b/>
          <w:sz w:val="24"/>
        </w:rPr>
        <w:t>Keywords:</w:t>
      </w:r>
      <w:r>
        <w:rPr>
          <w:rFonts w:ascii="Times New Roman" w:hAnsi="Times New Roman"/>
          <w:sz w:val="24"/>
        </w:rPr>
        <w:t xml:space="preserve"> normative release; norm internalisation; religious transmission; secularisation; religious revival; vestigial structure; religious scaffolding</w:t>
      </w:r>
    </w:p>
    <w:p>
      <w:pPr>
        <w:spacing w:before="0" w:after="120"/>
      </w:pPr>
      <w:r>
        <w:rPr>
          <w:rFonts w:ascii="Times New Roman" w:hAnsi="Times New Roman"/>
          <w:b/>
          <w:sz w:val="26"/>
        </w:rPr>
        <w:t>1. Introduction</w:t>
      </w:r>
    </w:p>
    <w:p>
      <w:pPr>
        <w:spacing w:before="0" w:after="120" w:line="480" w:lineRule="auto"/>
      </w:pPr>
      <w:r>
        <w:rPr>
          <w:rFonts w:ascii="Times New Roman" w:hAnsi="Times New Roman"/>
          <w:sz w:val="24"/>
        </w:rPr>
        <w:t>Religious decline is commonly described at the level of traditions: affiliation falls, attendance contracts, institutions lose authority. Yet at the level of individual norms, the picture is more puzzling. A norm may remain socially active long after the religious representation that once carried it has become less salient. Children who have never heard of a water deity still learn not to play unsupervised at the river's edge; heirs of a Christian moral vocabulary continue to speak of duty and obligation without any belief in a divine legislator. What should we call this condition, and how should we interpret it?</w:t>
      </w:r>
    </w:p>
    <w:p>
      <w:pPr>
        <w:spacing w:before="0" w:after="120" w:line="480" w:lineRule="auto"/>
      </w:pPr>
      <w:r>
        <w:rPr>
          <w:rFonts w:ascii="Times New Roman" w:hAnsi="Times New Roman"/>
          <w:sz w:val="24"/>
        </w:rPr>
        <w:t>Three existing literatures each explain part of the phenomenon. Cognitive and evolutionary accounts of religion explain how supernatural agents, rituals, and narratives transmit and stabilise norms (Norenzayan et al., 2016; Purzycki et al., 2016). Theories of norm dynamics explain how externally supported norms become internalised until compliance no longer requires external enforcement (Finnemore &amp; Sikkink, 1998; Gintis, 2003). Empirical work on disaffiliation documents a "religion residue" in which the values and moral dispositions of the formerly religious persist after identification ends (Van Tongeren et al., 2021a, 2021b). Each literature explains persistence; none asks what follows for the religious representation itself once a norm it helped transmit no longer requires it.</w:t>
      </w:r>
    </w:p>
    <w:p>
      <w:pPr>
        <w:spacing w:before="0" w:after="120" w:line="480" w:lineRule="auto"/>
      </w:pPr>
      <w:r>
        <w:rPr>
          <w:rFonts w:ascii="Times New Roman" w:hAnsi="Times New Roman"/>
          <w:sz w:val="24"/>
        </w:rPr>
        <w:t xml:space="preserve">This article proposes </w:t>
      </w:r>
      <w:r>
        <w:rPr>
          <w:rFonts w:ascii="Times New Roman" w:hAnsi="Times New Roman"/>
          <w:i/>
          <w:sz w:val="24"/>
        </w:rPr>
        <w:t>normative release</w:t>
      </w:r>
      <w:r>
        <w:rPr>
          <w:rFonts w:ascii="Times New Roman" w:hAnsi="Times New Roman"/>
          <w:sz w:val="24"/>
        </w:rPr>
        <w:t xml:space="preserve"> to fill that gap: the process by which a norm becomes sufficiently embedded in ordinary social life that its reproduction becomes progressively independent of the continued explicit salience of the religious, supernatural, or personified representation through which it was previously transmitted. Release is not secularisation by another name, nor a claim that the deity has been defeated, disproved, or abandoned. It names a possibility that existing accounts leave untheorised: that the diminishing necessity of a religious carrier may sometimes register the </w:t>
      </w:r>
      <w:r>
        <w:rPr>
          <w:rFonts w:ascii="Times New Roman" w:hAnsi="Times New Roman"/>
          <w:i/>
          <w:sz w:val="24"/>
        </w:rPr>
        <w:t>completion</w:t>
      </w:r>
      <w:r>
        <w:rPr>
          <w:rFonts w:ascii="Times New Roman" w:hAnsi="Times New Roman"/>
          <w:sz w:val="24"/>
        </w:rPr>
        <w:t xml:space="preserve"> of a transmissive function rather than its failure.</w:t>
      </w:r>
    </w:p>
    <w:p>
      <w:pPr>
        <w:spacing w:before="0" w:after="120" w:line="480" w:lineRule="auto"/>
      </w:pPr>
      <w:r>
        <w:rPr>
          <w:rFonts w:ascii="Times New Roman" w:hAnsi="Times New Roman"/>
          <w:sz w:val="24"/>
        </w:rPr>
        <w:t>This possibility complicates a familiar interpretive reflex. Where a norm's religious scaffold fades while the norm persists, observers typically reach for one of three readings: the norm is a problematic survival (Anscombe, 1958), it is residue of a faded commitment (Van Tongeren et al., 2021a), or the remaining religious structure is vestigial (Talmont-Kaminski &amp; Shults, 2024). We argue there is a fourth reading—</w:t>
      </w:r>
      <w:r>
        <w:rPr>
          <w:rFonts w:ascii="Times New Roman" w:hAnsi="Times New Roman"/>
          <w:i/>
          <w:sz w:val="24"/>
        </w:rPr>
        <w:t>successful transmission</w:t>
      </w:r>
      <w:r>
        <w:rPr>
          <w:rFonts w:ascii="Times New Roman" w:hAnsi="Times New Roman"/>
          <w:sz w:val="24"/>
        </w:rPr>
        <w:t>—and that keeping it available changes how religious recession, persistence, and revival should be described.</w:t>
      </w:r>
    </w:p>
    <w:p>
      <w:pPr>
        <w:spacing w:before="0" w:after="120" w:line="480" w:lineRule="auto"/>
      </w:pPr>
      <w:r>
        <w:rPr>
          <w:rFonts w:ascii="Times New Roman" w:hAnsi="Times New Roman"/>
          <w:sz w:val="24"/>
        </w:rPr>
        <w:t>The cyclical model that results (Figure 1) and its bearing on renewal are developed in Sections 6–7. The argument proceeds as follows. Section 2 reviews how religious and supernatural representations can serve as scaffolds for norm transmission, without reducing religion to that function. Section 3 traces the path from transmission to internalisation, drawing on norm life-cycle models and residue research. Section 4 defines normative release and distinguishes it from secularisation, residue, deus otiosus, and vestigialisation. Section 5 derives the self-effacement paradox. Section 6 embeds release in a cyclical, norm-specific model of renewal. Section 7 reconceives religious revival as selective reintegration rather than restoration. Section 8 discusses the release and perpetual-authority pathways, limits, and falsification conditions. Section 9 concludes.</w:t>
      </w:r>
    </w:p>
    <w:p>
      <w:pPr>
        <w:jc w:val="center"/>
      </w:pPr>
      <w:r>
        <w:drawing>
          <wp:inline xmlns:a="http://schemas.openxmlformats.org/drawingml/2006/main" xmlns:pic="http://schemas.openxmlformats.org/drawingml/2006/picture">
            <wp:extent cx="5303520" cy="3864116"/>
            <wp:docPr id="1" name="Picture 1"/>
            <wp:cNvGraphicFramePr>
              <a:graphicFrameLocks noChangeAspect="1"/>
            </wp:cNvGraphicFramePr>
            <a:graphic>
              <a:graphicData uri="http://schemas.openxmlformats.org/drawingml/2006/picture">
                <pic:pic>
                  <pic:nvPicPr>
                    <pic:cNvPr id="0" name="fig1_release_cycle.png"/>
                    <pic:cNvPicPr/>
                  </pic:nvPicPr>
                  <pic:blipFill>
                    <a:blip r:embed="rId9"/>
                    <a:stretch>
                      <a:fillRect/>
                    </a:stretch>
                  </pic:blipFill>
                  <pic:spPr>
                    <a:xfrm>
                      <a:off x="0" y="0"/>
                      <a:ext cx="5303520" cy="3864116"/>
                    </a:xfrm>
                    <a:prstGeom prst="rect"/>
                  </pic:spPr>
                </pic:pic>
              </a:graphicData>
            </a:graphic>
          </wp:inline>
        </w:drawing>
      </w:r>
    </w:p>
    <w:p>
      <w:pPr>
        <w:spacing w:before="0" w:after="120"/>
      </w:pPr>
      <w:r>
        <w:rPr>
          <w:rFonts w:ascii="Times New Roman" w:hAnsi="Times New Roman"/>
          <w:sz w:val="20"/>
        </w:rPr>
        <w:t>Figure 1. The normative release cycle.</w:t>
      </w:r>
    </w:p>
    <w:p>
      <w:pPr>
        <w:spacing w:before="0" w:after="120"/>
      </w:pPr>
      <w:r>
        <w:rPr>
          <w:rFonts w:ascii="Times New Roman" w:hAnsi="Times New Roman"/>
          <w:b/>
          <w:sz w:val="26"/>
        </w:rPr>
        <w:t>2. Religious representations as normative scaffolds</w:t>
      </w:r>
    </w:p>
    <w:p>
      <w:pPr>
        <w:spacing w:before="0" w:after="120" w:line="480" w:lineRule="auto"/>
      </w:pPr>
      <w:r>
        <w:rPr>
          <w:rFonts w:ascii="Times New Roman" w:hAnsi="Times New Roman"/>
          <w:sz w:val="24"/>
        </w:rPr>
        <w:t xml:space="preserve">We do not claim that gods exist to carry norms, or that every deity is a personified rule. Supernatural representations have multiple origins—natural forces, ecological danger, ancestors, fertility, death, political authority, existential uncertainty, cosmological explanation—and no single genealogy covers them. Our claim is deliberately limited: </w:t>
      </w:r>
      <w:r>
        <w:rPr>
          <w:rFonts w:ascii="Times New Roman" w:hAnsi="Times New Roman"/>
          <w:i/>
          <w:sz w:val="24"/>
        </w:rPr>
        <w:t>some</w:t>
      </w:r>
      <w:r>
        <w:rPr>
          <w:rFonts w:ascii="Times New Roman" w:hAnsi="Times New Roman"/>
          <w:sz w:val="24"/>
        </w:rPr>
        <w:t xml:space="preserve"> religious and supernatural representations may function, among other things, as personified carriers of norms, environmental constraints, or socially valued conduct.</w:t>
      </w:r>
    </w:p>
    <w:p>
      <w:pPr>
        <w:spacing w:before="0" w:after="120" w:line="480" w:lineRule="auto"/>
      </w:pPr>
      <w:r>
        <w:rPr>
          <w:rFonts w:ascii="Times New Roman" w:hAnsi="Times New Roman"/>
          <w:sz w:val="24"/>
        </w:rPr>
        <w:t>There is good reason to take this limited functionalism seriously. Experimental and ethnographic work shows that beliefs in watchful, morally interested supernatural agents are associated with increased prosocial conduct toward strangers (Purzycki et al., 2016), and that people across fifteen field sites tend to attribute moral concern to local deities even when those deities are not explicitly moralised—a "moralization bias of gods' minds" (Purzycki et al., 2022). Singh, Kaptchuk, and Henrich (2021) document the Mentawai water spirit Sikameinan, believed to punish those who violate meat-sharing norms; the public healing rituals that follow a violation retransmit the underlying norm to onlookers. The scope and powers of deities may have expanded historically as their norm-enforcement role deepened (Norenzayan et al., 2016; Watts et al., 2015; cf. Watts et al., 2016), though the causal ordering remains debated (Beheim et al., 2021).</w:t>
      </w:r>
    </w:p>
    <w:p>
      <w:pPr>
        <w:spacing w:before="0" w:after="120" w:line="480" w:lineRule="auto"/>
      </w:pPr>
      <w:r>
        <w:rPr>
          <w:rFonts w:ascii="Times New Roman" w:hAnsi="Times New Roman"/>
          <w:sz w:val="24"/>
        </w:rPr>
        <w:t xml:space="preserve">What does personification add to transmission? Candidate effects include memorability, emotional salience, agency attribution, causal intelligibility, and behavioural consequence made vivid. The contrast is intuitive: "do not approach dangerous water" is an abstract rule; "the kappa will pull you in" is an agent with a story and a consequence. The kappa is a documented example of a danger-bearing supernatural figure used to warn children about rivers (Foster, 1998; Ishikawa, 1985), and importantly, Foster (1998) traces its subsequent transformation through </w:t>
      </w:r>
      <w:r>
        <w:rPr>
          <w:rFonts w:ascii="Times New Roman" w:hAnsi="Times New Roman"/>
          <w:i/>
          <w:sz w:val="24"/>
        </w:rPr>
        <w:t>folklorism</w:t>
      </w:r>
      <w:r>
        <w:rPr>
          <w:rFonts w:ascii="Times New Roman" w:hAnsi="Times New Roman"/>
          <w:sz w:val="24"/>
        </w:rPr>
        <w:t xml:space="preserve"> into a benign mascot—the warning persists in signage and parental instruction while the frightening agent has been defanged. We use such cases illustratively, not as proof: the causal claim that personification outperforms equivalent abstract instruction has suggestive support in narrative cognition and cultural transmission research (Boyer, 2001; Gervais et al., 2011) but no clean demonstration, and we do not assert more than the literature supports.</w:t>
      </w:r>
    </w:p>
    <w:p>
      <w:pPr>
        <w:spacing w:before="0" w:after="120" w:line="480" w:lineRule="auto"/>
      </w:pPr>
      <w:r>
        <w:rPr>
          <w:rFonts w:ascii="Times New Roman" w:hAnsi="Times New Roman"/>
          <w:sz w:val="24"/>
        </w:rPr>
        <w:t>Ritual reinforces the same architecture. Rituals are costly, public, and repetitive; they re-broadcast the norm-relevant content of a tradition to participants and onlookers (Singh et al., 2021; Whitehouse, 2004). Narrative supplies causal intelligibility: an agent who notices, punishes, or rewards makes the norm memorable as a story rather than a rule (Boyer, 2001). Place anchors both: sacred geography ties transmitted meanings to recurrent encounters. Religion, in this view, is not only scripture, doctrine, belief, confession, and membership; it is also place, ritual, narrative, participation, and transmission—a practice-centered conception continuous with the lived-religion and vernacular-religion traditions (McGuire, 2008; Ammerman, 2007; Primiano, 1995) and with Luckmann's (1967) account of the modern relocation of the sacred.</w:t>
      </w:r>
    </w:p>
    <w:p>
      <w:pPr>
        <w:spacing w:before="0" w:after="120" w:line="480" w:lineRule="auto"/>
      </w:pPr>
      <w:r>
        <w:rPr>
          <w:rFonts w:ascii="Times New Roman" w:hAnsi="Times New Roman"/>
          <w:sz w:val="24"/>
        </w:rPr>
        <w:t xml:space="preserve">Three cautions discipline this section. First, functionalism is bounded: saying a representation </w:t>
      </w:r>
      <w:r>
        <w:rPr>
          <w:rFonts w:ascii="Times New Roman" w:hAnsi="Times New Roman"/>
          <w:i/>
          <w:sz w:val="24"/>
        </w:rPr>
        <w:t>can</w:t>
      </w:r>
      <w:r>
        <w:rPr>
          <w:rFonts w:ascii="Times New Roman" w:hAnsi="Times New Roman"/>
          <w:sz w:val="24"/>
        </w:rPr>
        <w:t xml:space="preserve"> carry a norm does not entail that it </w:t>
      </w:r>
      <w:r>
        <w:rPr>
          <w:rFonts w:ascii="Times New Roman" w:hAnsi="Times New Roman"/>
          <w:i/>
          <w:sz w:val="24"/>
        </w:rPr>
        <w:t>only</w:t>
      </w:r>
      <w:r>
        <w:rPr>
          <w:rFonts w:ascii="Times New Roman" w:hAnsi="Times New Roman"/>
          <w:sz w:val="24"/>
        </w:rPr>
        <w:t xml:space="preserve"> does so, or that its other functions are eliminable. Second, correlation is not causation: the experimental literature on supernatural monitoring shows modest and contested effects, and we rely on it for plausibility, not proof (cf. Beheim et al., 2021). Third, not every norm has a god, and not every god carries a norm; the scaffold claim is existential, not universal.</w:t>
      </w:r>
    </w:p>
    <w:p>
      <w:pPr>
        <w:spacing w:before="0" w:after="120" w:line="480" w:lineRule="auto"/>
      </w:pPr>
      <w:r>
        <w:rPr>
          <w:rFonts w:ascii="Times New Roman" w:hAnsi="Times New Roman"/>
          <w:sz w:val="24"/>
        </w:rPr>
        <w:t>Four illustrative cases anchor the abstraction without pretending to test it. (i) The kappa case: a dangerous water figure encoding river-safety instruction, later softened through folklorism into a mascot while the warning detached and persisted in ordinary parental practice and signage (Foster, 1998; Ishikawa, 1985). We do not claim the kappa was invented for instruction; the point is that a figure could carry the warning and that the warning survived the figure's de-fanging. (ii) The Mentawai case: Sikameinan's norm-enforcement role is still live—transmission has not completed—and the healing ritual publicly re-broadcasts the sharing norm after each violation (Singh et al., 2021). The pair—one figure's warning function completed and defused, another still enforced—shows the variable our model tracks: the norm's continued dependence on the representation. (iii) The Church–kinship case: Schulz et al. (2019) document durable psychological and normative change produced by a religious institution's restructuring of kinship—embedding at civilisational scale. Whether the resulting individualism now reproduces independently of its Christian carrier is precisely the diagnostic question release poses; we cite it as scope, not as established release. (iv) Shinto offers a contrasting baseline for the whole discussion: a tradition with weak creed and overlapping membership that nonetheless sustains ritual, place, and seasonal practice (Reader, 1991; Nelson, 2000)—evidence that transmission does not require confessional structure.</w:t>
      </w:r>
    </w:p>
    <w:p>
      <w:pPr>
        <w:spacing w:before="0" w:after="120"/>
      </w:pPr>
      <w:r>
        <w:rPr>
          <w:rFonts w:ascii="Times New Roman" w:hAnsi="Times New Roman"/>
          <w:b/>
          <w:sz w:val="26"/>
        </w:rPr>
        <w:t>3. From transmission to internalisation</w:t>
      </w:r>
    </w:p>
    <w:p>
      <w:pPr>
        <w:spacing w:before="0" w:after="120" w:line="480" w:lineRule="auto"/>
      </w:pPr>
      <w:r>
        <w:rPr>
          <w:rFonts w:ascii="Times New Roman" w:hAnsi="Times New Roman"/>
          <w:sz w:val="24"/>
        </w:rPr>
        <w:t>Norm research provides the second plank. Finnemore and Sikkink's (1998) norm life-cycle runs from emergence through cascade to internalisation, where norms acquire a "taken-for-granted" quality and compliance approaches the automatic. Subsequent scholarship has complicated the terminal stage—internalised norms remain contestable (Wiener, 2014) and can regress—but the core insight stands: enforcement migrates from external sanctions to habit, identity, and social expectation (Gintis, 2003).</w:t>
      </w:r>
    </w:p>
    <w:p>
      <w:pPr>
        <w:spacing w:before="0" w:after="120" w:line="480" w:lineRule="auto"/>
      </w:pPr>
      <w:r>
        <w:rPr>
          <w:rFonts w:ascii="Times New Roman" w:hAnsi="Times New Roman"/>
          <w:sz w:val="24"/>
        </w:rPr>
        <w:t>The religion residue literature supplies empirical traction at the individual level. People who leave religion ("religious dones") retain values and moral emphases intermediate between the consistently religious and the never religious—a stairstep pattern across moral foundations (Van Tongeren et al., 2021b) and Schwartz values (Schwadel et al., 2021), with cross-cultural replication (Van Tongeren et al., 2021a). At the institutional scale, Schulz et al. (2019) argue that the medieval Western Church's restructuring of kinship produced psychological and normative shifts—toward individualism and impersonal prosociality—that outlasted the institutions that generated them.</w:t>
      </w:r>
    </w:p>
    <w:p>
      <w:pPr>
        <w:spacing w:before="0" w:after="120" w:line="480" w:lineRule="auto"/>
      </w:pPr>
      <w:r>
        <w:rPr>
          <w:rFonts w:ascii="Times New Roman" w:hAnsi="Times New Roman"/>
          <w:sz w:val="24"/>
        </w:rPr>
        <w:t xml:space="preserve">Two observations motivate what follows. First, residue research describes </w:t>
      </w:r>
      <w:r>
        <w:rPr>
          <w:rFonts w:ascii="Times New Roman" w:hAnsi="Times New Roman"/>
          <w:i/>
          <w:sz w:val="24"/>
        </w:rPr>
        <w:t>that</w:t>
      </w:r>
      <w:r>
        <w:rPr>
          <w:rFonts w:ascii="Times New Roman" w:hAnsi="Times New Roman"/>
          <w:sz w:val="24"/>
        </w:rPr>
        <w:t xml:space="preserve"> norms persist after religiosity recedes; it is largely silent on </w:t>
      </w:r>
      <w:r>
        <w:rPr>
          <w:rFonts w:ascii="Times New Roman" w:hAnsi="Times New Roman"/>
          <w:i/>
          <w:sz w:val="24"/>
        </w:rPr>
        <w:t>when</w:t>
      </w:r>
      <w:r>
        <w:rPr>
          <w:rFonts w:ascii="Times New Roman" w:hAnsi="Times New Roman"/>
          <w:sz w:val="24"/>
        </w:rPr>
        <w:t xml:space="preserve"> the carrier's continued salience becomes unnecessary, and on whether the recession can be read as anything other than attenuation. Second, internalisation models end where our question begins. Once the external scaffold's enforcement function has been absorbed into ordinary social reproduction, what is the scaffold's status? The literature offers no named process for this transition. We propose one.</w:t>
      </w:r>
    </w:p>
    <w:p>
      <w:pPr>
        <w:spacing w:before="0" w:after="120" w:line="480" w:lineRule="auto"/>
      </w:pPr>
      <w:r>
        <w:rPr>
          <w:rFonts w:ascii="Times New Roman" w:hAnsi="Times New Roman"/>
          <w:sz w:val="24"/>
        </w:rPr>
        <w:t xml:space="preserve">A transitional concept is needed between transmission and internalisation: the recursive incorporation of inherited ritual, narrative, place, and normative meaning into ordinary life. Religious meaning does not merely persist; it is folded back into everyday practice, where transformed experience in turn reshapes the meaning transmitted to the next generation. Recursive incorporation is a </w:t>
      </w:r>
      <w:r>
        <w:rPr>
          <w:rFonts w:ascii="Times New Roman" w:hAnsi="Times New Roman"/>
          <w:i/>
          <w:sz w:val="24"/>
        </w:rPr>
        <w:t>process</w:t>
      </w:r>
      <w:r>
        <w:rPr>
          <w:rFonts w:ascii="Times New Roman" w:hAnsi="Times New Roman"/>
          <w:sz w:val="24"/>
        </w:rPr>
        <w:t>, distinct from lived religion understood as an empirical orientation or field (McGuire, 2008; Ammerman, 2007). Where lived religion describes religion as it is lived, recursive incorporation describes how transmitted content becomes ordinary.</w:t>
      </w:r>
    </w:p>
    <w:p>
      <w:pPr>
        <w:spacing w:before="0" w:after="120"/>
      </w:pPr>
      <w:r>
        <w:rPr>
          <w:rFonts w:ascii="Times New Roman" w:hAnsi="Times New Roman"/>
          <w:b/>
          <w:sz w:val="26"/>
        </w:rPr>
        <w:t>4. Normative release</w:t>
      </w:r>
    </w:p>
    <w:p>
      <w:pPr>
        <w:spacing w:before="0" w:after="120" w:line="480" w:lineRule="auto"/>
      </w:pPr>
      <w:r>
        <w:rPr>
          <w:rFonts w:ascii="Times New Roman" w:hAnsi="Times New Roman"/>
          <w:b/>
          <w:sz w:val="24"/>
        </w:rPr>
        <w:t>Definition.</w:t>
      </w:r>
      <w:r>
        <w:rPr>
          <w:rFonts w:ascii="Times New Roman" w:hAnsi="Times New Roman"/>
          <w:sz w:val="24"/>
        </w:rPr>
        <w:t xml:space="preserve"> Normative release is the process by which a norm becomes sufficiently embedded in ordinary social life that its reproduction becomes progressively independent of the continued explicit salience of the religious, supernatural, or personified representation through which it was previously transmitted.</w:t>
      </w:r>
    </w:p>
    <w:p>
      <w:pPr>
        <w:spacing w:before="0" w:after="120" w:line="480" w:lineRule="auto"/>
      </w:pPr>
      <w:r>
        <w:rPr>
          <w:rFonts w:ascii="Times New Roman" w:hAnsi="Times New Roman"/>
          <w:sz w:val="24"/>
        </w:rPr>
        <w:t>Several qualifications are essential.</w:t>
      </w:r>
    </w:p>
    <w:p>
      <w:pPr>
        <w:spacing w:before="0" w:after="120" w:line="480" w:lineRule="auto"/>
        <w:ind w:left="576"/>
      </w:pPr>
      <w:r>
        <w:rPr>
          <w:rFonts w:ascii="Times New Roman" w:hAnsi="Times New Roman"/>
          <w:i/>
          <w:sz w:val="24"/>
        </w:rPr>
        <w:t>Release is norm-specific, not tradition-wide.</w:t>
      </w:r>
      <w:r>
        <w:rPr>
          <w:rFonts w:ascii="Times New Roman" w:hAnsi="Times New Roman"/>
          <w:sz w:val="24"/>
        </w:rPr>
        <w:t xml:space="preserve"> A deity, spirit, or sacred representation may carry many functions. If G = {f₁, f₂, …, fₙ}, release concerns the transfer of a particular transmissive function fᵢ from G to ordinary social reproduction: G → N becomes Society → N for that function, while other functions of G may remain active, migrate, or lapse independently. Release does not require the deity's exit.</w:t>
      </w:r>
    </w:p>
    <w:p>
      <w:pPr>
        <w:spacing w:before="0" w:after="120" w:line="480" w:lineRule="auto"/>
        <w:ind w:left="576"/>
      </w:pPr>
      <w:r>
        <w:rPr>
          <w:rFonts w:ascii="Times New Roman" w:hAnsi="Times New Roman"/>
          <w:i/>
          <w:sz w:val="24"/>
        </w:rPr>
        <w:t>Release is not denial, defeat, or disproof.</w:t>
      </w:r>
      <w:r>
        <w:rPr>
          <w:rFonts w:ascii="Times New Roman" w:hAnsi="Times New Roman"/>
          <w:sz w:val="24"/>
        </w:rPr>
        <w:t xml:space="preserve"> The representation is not falsified; its role in the reproduction of a particular norm has been completed or transferred. Nor is release equivalent to secularisation: secularisation describes declining religious authority and participation; release describes a change in the dependency structure of one norm.</w:t>
      </w:r>
    </w:p>
    <w:p>
      <w:pPr>
        <w:spacing w:before="0" w:after="120" w:line="480" w:lineRule="auto"/>
        <w:ind w:left="576"/>
      </w:pPr>
      <w:r>
        <w:rPr>
          <w:rFonts w:ascii="Times New Roman" w:hAnsi="Times New Roman"/>
          <w:i/>
          <w:sz w:val="24"/>
        </w:rPr>
        <w:t>Release is gradual and potentially partial.</w:t>
      </w:r>
      <w:r>
        <w:rPr>
          <w:rFonts w:ascii="Times New Roman" w:hAnsi="Times New Roman"/>
          <w:sz w:val="24"/>
        </w:rPr>
        <w:t xml:space="preserve"> Salience can diminish across generations without disappearing; a norm may remain weakly coupled to a dormant representation that can be reactivated.</w:t>
      </w:r>
    </w:p>
    <w:p>
      <w:pPr>
        <w:spacing w:before="0" w:after="120" w:line="480" w:lineRule="auto"/>
      </w:pPr>
      <w:r>
        <w:rPr>
          <w:rFonts w:ascii="Times New Roman" w:hAnsi="Times New Roman"/>
          <w:sz w:val="24"/>
        </w:rPr>
        <w:t>To fix the concept, it helps to set it against the four nearest accounts of post-religious persistence—an inversion our comparison makes visible (Figure 2; Table 1).</w:t>
      </w:r>
    </w:p>
    <w:p>
      <w:pPr>
        <w:jc w:val="center"/>
      </w:pPr>
      <w:r>
        <w:drawing>
          <wp:inline xmlns:a="http://schemas.openxmlformats.org/drawingml/2006/main" xmlns:pic="http://schemas.openxmlformats.org/drawingml/2006/picture">
            <wp:extent cx="5303520" cy="2562025"/>
            <wp:docPr id="2" name="Picture 2"/>
            <wp:cNvGraphicFramePr>
              <a:graphicFrameLocks noChangeAspect="1"/>
            </wp:cNvGraphicFramePr>
            <a:graphic>
              <a:graphicData uri="http://schemas.openxmlformats.org/drawingml/2006/picture">
                <pic:pic>
                  <pic:nvPicPr>
                    <pic:cNvPr id="0" name="fig2_persistence_models.png"/>
                    <pic:cNvPicPr/>
                  </pic:nvPicPr>
                  <pic:blipFill>
                    <a:blip r:embed="rId10"/>
                    <a:stretch>
                      <a:fillRect/>
                    </a:stretch>
                  </pic:blipFill>
                  <pic:spPr>
                    <a:xfrm>
                      <a:off x="0" y="0"/>
                      <a:ext cx="5303520" cy="2562025"/>
                    </a:xfrm>
                    <a:prstGeom prst="rect"/>
                  </pic:spPr>
                </pic:pic>
              </a:graphicData>
            </a:graphic>
          </wp:inline>
        </w:drawing>
      </w:r>
    </w:p>
    <w:p>
      <w:pPr>
        <w:spacing w:before="0" w:after="120"/>
      </w:pPr>
      <w:r>
        <w:rPr>
          <w:rFonts w:ascii="Times New Roman" w:hAnsi="Times New Roman"/>
          <w:sz w:val="20"/>
        </w:rPr>
        <w:t>Figure 2. Four accounts of persistence after religious recession, and normative release.</w:t>
      </w:r>
    </w:p>
    <w:p>
      <w:pPr>
        <w:spacing w:before="0" w:after="120"/>
      </w:pPr>
      <w:r>
        <w:rPr>
          <w:rFonts w:ascii="Times New Roman" w:hAnsi="Times New Roman"/>
          <w:sz w:val="20"/>
        </w:rPr>
        <w:t>Table 1. Accounts of persistence after religious recession: what persists, what recedes, and how persistence is interpreted.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Framework</w:t>
            </w:r>
          </w:p>
        </w:tc>
        <w:tc>
          <w:tcPr>
            <w:tcW w:type="dxa" w:w="1440"/>
          </w:tcPr>
          <w:p>
            <w:r>
              <w:rPr>
                <w:rFonts w:ascii="Times New Roman" w:hAnsi="Times New Roman"/>
                <w:b/>
                <w:sz w:val="18"/>
              </w:rPr>
              <w:t>What persists?</w:t>
            </w:r>
          </w:p>
        </w:tc>
        <w:tc>
          <w:tcPr>
            <w:tcW w:type="dxa" w:w="1440"/>
          </w:tcPr>
          <w:p>
            <w:r>
              <w:rPr>
                <w:rFonts w:ascii="Times New Roman" w:hAnsi="Times New Roman"/>
                <w:b/>
                <w:sz w:val="18"/>
              </w:rPr>
              <w:t>What recedes?</w:t>
            </w:r>
          </w:p>
        </w:tc>
        <w:tc>
          <w:tcPr>
            <w:tcW w:type="dxa" w:w="1440"/>
          </w:tcPr>
          <w:p>
            <w:r>
              <w:rPr>
                <w:rFonts w:ascii="Times New Roman" w:hAnsi="Times New Roman"/>
                <w:b/>
                <w:sz w:val="18"/>
              </w:rPr>
              <w:t>Interpretation</w:t>
            </w:r>
          </w:p>
        </w:tc>
        <w:tc>
          <w:tcPr>
            <w:tcW w:type="dxa" w:w="1440"/>
          </w:tcPr>
          <w:p>
            <w:r>
              <w:rPr>
                <w:rFonts w:ascii="Times New Roman" w:hAnsi="Times New Roman"/>
                <w:b/>
                <w:sz w:val="18"/>
              </w:rPr>
              <w:t>Scale</w:t>
            </w:r>
          </w:p>
        </w:tc>
        <w:tc>
          <w:tcPr>
            <w:tcW w:type="dxa" w:w="1440"/>
          </w:tcPr>
          <w:p>
            <w:r>
              <w:rPr>
                <w:rFonts w:ascii="Times New Roman" w:hAnsi="Times New Roman"/>
                <w:b/>
                <w:sz w:val="18"/>
              </w:rPr>
              <w:t>Relation to normative release</w:t>
            </w:r>
          </w:p>
        </w:tc>
      </w:tr>
      <w:tr>
        <w:tc>
          <w:tcPr>
            <w:tcW w:type="dxa" w:w="1440"/>
          </w:tcPr>
          <w:p>
            <w:r>
              <w:rPr>
                <w:rFonts w:ascii="Times New Roman" w:hAnsi="Times New Roman"/>
                <w:sz w:val="18"/>
              </w:rPr>
              <w:t>Anscombe (1958): survival</w:t>
            </w:r>
          </w:p>
        </w:tc>
        <w:tc>
          <w:tcPr>
            <w:tcW w:type="dxa" w:w="1440"/>
          </w:tcPr>
          <w:p>
            <w:r>
              <w:rPr>
                <w:rFonts w:ascii="Times New Roman" w:hAnsi="Times New Roman"/>
                <w:sz w:val="18"/>
              </w:rPr>
              <w:t>Moral "ought" vocabulary</w:t>
            </w:r>
          </w:p>
        </w:tc>
        <w:tc>
          <w:tcPr>
            <w:tcW w:type="dxa" w:w="1440"/>
          </w:tcPr>
          <w:p>
            <w:r>
              <w:rPr>
                <w:rFonts w:ascii="Times New Roman" w:hAnsi="Times New Roman"/>
                <w:sz w:val="18"/>
              </w:rPr>
              <w:t>Divine-law framework</w:t>
            </w:r>
          </w:p>
        </w:tc>
        <w:tc>
          <w:tcPr>
            <w:tcW w:type="dxa" w:w="1440"/>
          </w:tcPr>
          <w:p>
            <w:r>
              <w:rPr>
                <w:rFonts w:ascii="Times New Roman" w:hAnsi="Times New Roman"/>
                <w:sz w:val="18"/>
              </w:rPr>
              <w:t>Problematic survival — concepts lost their root</w:t>
            </w:r>
          </w:p>
        </w:tc>
        <w:tc>
          <w:tcPr>
            <w:tcW w:type="dxa" w:w="1440"/>
          </w:tcPr>
          <w:p>
            <w:r>
              <w:rPr>
                <w:rFonts w:ascii="Times New Roman" w:hAnsi="Times New Roman"/>
                <w:sz w:val="18"/>
              </w:rPr>
              <w:t>Conceptual / civilisational</w:t>
            </w:r>
          </w:p>
        </w:tc>
        <w:tc>
          <w:tcPr>
            <w:tcW w:type="dxa" w:w="1440"/>
          </w:tcPr>
          <w:p>
            <w:r>
              <w:rPr>
                <w:rFonts w:ascii="Times New Roman" w:hAnsi="Times New Roman"/>
                <w:sz w:val="18"/>
              </w:rPr>
              <w:t>Same structure; release offers a completion reading Anscombe does not consider</w:t>
            </w:r>
          </w:p>
        </w:tc>
      </w:tr>
      <w:tr>
        <w:tc>
          <w:tcPr>
            <w:tcW w:type="dxa" w:w="1440"/>
          </w:tcPr>
          <w:p>
            <w:r>
              <w:rPr>
                <w:rFonts w:ascii="Times New Roman" w:hAnsi="Times New Roman"/>
                <w:sz w:val="18"/>
              </w:rPr>
              <w:t>Nietzsche (1974/1882): shadow of God</w:t>
            </w:r>
          </w:p>
        </w:tc>
        <w:tc>
          <w:tcPr>
            <w:tcW w:type="dxa" w:w="1440"/>
          </w:tcPr>
          <w:p>
            <w:r>
              <w:rPr>
                <w:rFonts w:ascii="Times New Roman" w:hAnsi="Times New Roman"/>
                <w:sz w:val="18"/>
              </w:rPr>
              <w:t>Moral/metaphysical structures</w:t>
            </w:r>
          </w:p>
        </w:tc>
        <w:tc>
          <w:tcPr>
            <w:tcW w:type="dxa" w:w="1440"/>
          </w:tcPr>
          <w:p>
            <w:r>
              <w:rPr>
                <w:rFonts w:ascii="Times New Roman" w:hAnsi="Times New Roman"/>
                <w:sz w:val="18"/>
              </w:rPr>
              <w:t>Belief in God</w:t>
            </w:r>
          </w:p>
        </w:tc>
        <w:tc>
          <w:tcPr>
            <w:tcW w:type="dxa" w:w="1440"/>
          </w:tcPr>
          <w:p>
            <w:r>
              <w:rPr>
                <w:rFonts w:ascii="Times New Roman" w:hAnsi="Times New Roman"/>
                <w:sz w:val="18"/>
              </w:rPr>
              <w:t>Lingering dependence on an absent source</w:t>
            </w:r>
          </w:p>
        </w:tc>
        <w:tc>
          <w:tcPr>
            <w:tcW w:type="dxa" w:w="1440"/>
          </w:tcPr>
          <w:p>
            <w:r>
              <w:rPr>
                <w:rFonts w:ascii="Times New Roman" w:hAnsi="Times New Roman"/>
                <w:sz w:val="18"/>
              </w:rPr>
              <w:t>Cultural / civilisational</w:t>
            </w:r>
          </w:p>
        </w:tc>
        <w:tc>
          <w:tcPr>
            <w:tcW w:type="dxa" w:w="1440"/>
          </w:tcPr>
          <w:p>
            <w:r>
              <w:rPr>
                <w:rFonts w:ascii="Times New Roman" w:hAnsi="Times New Roman"/>
                <w:sz w:val="18"/>
              </w:rPr>
              <w:t>Asks whether some "shadows" are self-sustaining, not shadows</w:t>
            </w:r>
          </w:p>
        </w:tc>
      </w:tr>
      <w:tr>
        <w:tc>
          <w:tcPr>
            <w:tcW w:type="dxa" w:w="1440"/>
          </w:tcPr>
          <w:p>
            <w:r>
              <w:rPr>
                <w:rFonts w:ascii="Times New Roman" w:hAnsi="Times New Roman"/>
                <w:sz w:val="18"/>
              </w:rPr>
              <w:t>Religion residue (Van Tongeren et al., 2021a, 2021b; Schwadel et al., 2021)</w:t>
            </w:r>
          </w:p>
        </w:tc>
        <w:tc>
          <w:tcPr>
            <w:tcW w:type="dxa" w:w="1440"/>
          </w:tcPr>
          <w:p>
            <w:r>
              <w:rPr>
                <w:rFonts w:ascii="Times New Roman" w:hAnsi="Times New Roman"/>
                <w:sz w:val="18"/>
              </w:rPr>
              <w:t>Values, moral foundations in "dones"</w:t>
            </w:r>
          </w:p>
        </w:tc>
        <w:tc>
          <w:tcPr>
            <w:tcW w:type="dxa" w:w="1440"/>
          </w:tcPr>
          <w:p>
            <w:r>
              <w:rPr>
                <w:rFonts w:ascii="Times New Roman" w:hAnsi="Times New Roman"/>
                <w:sz w:val="18"/>
              </w:rPr>
              <w:t>Religious identification/practice</w:t>
            </w:r>
          </w:p>
        </w:tc>
        <w:tc>
          <w:tcPr>
            <w:tcW w:type="dxa" w:w="1440"/>
          </w:tcPr>
          <w:p>
            <w:r>
              <w:rPr>
                <w:rFonts w:ascii="Times New Roman" w:hAnsi="Times New Roman"/>
                <w:sz w:val="18"/>
              </w:rPr>
              <w:t>Persistence of psychological residue after disaffiliation</w:t>
            </w:r>
          </w:p>
        </w:tc>
        <w:tc>
          <w:tcPr>
            <w:tcW w:type="dxa" w:w="1440"/>
          </w:tcPr>
          <w:p>
            <w:r>
              <w:rPr>
                <w:rFonts w:ascii="Times New Roman" w:hAnsi="Times New Roman"/>
                <w:sz w:val="18"/>
              </w:rPr>
              <w:t>Individual</w:t>
            </w:r>
          </w:p>
        </w:tc>
        <w:tc>
          <w:tcPr>
            <w:tcW w:type="dxa" w:w="1440"/>
          </w:tcPr>
          <w:p>
            <w:r>
              <w:rPr>
                <w:rFonts w:ascii="Times New Roman" w:hAnsi="Times New Roman"/>
                <w:sz w:val="18"/>
              </w:rPr>
              <w:t>Individual-level analogue; release adds mechanism + cultural level</w:t>
            </w:r>
          </w:p>
        </w:tc>
      </w:tr>
      <w:tr>
        <w:tc>
          <w:tcPr>
            <w:tcW w:type="dxa" w:w="1440"/>
          </w:tcPr>
          <w:p>
            <w:r>
              <w:rPr>
                <w:rFonts w:ascii="Times New Roman" w:hAnsi="Times New Roman"/>
                <w:sz w:val="18"/>
              </w:rPr>
              <w:t>Deus otiosus (Eliade, 1959)</w:t>
            </w:r>
          </w:p>
        </w:tc>
        <w:tc>
          <w:tcPr>
            <w:tcW w:type="dxa" w:w="1440"/>
          </w:tcPr>
          <w:p>
            <w:r>
              <w:rPr>
                <w:rFonts w:ascii="Times New Roman" w:hAnsi="Times New Roman"/>
                <w:sz w:val="18"/>
              </w:rPr>
              <w:t>Created order</w:t>
            </w:r>
          </w:p>
        </w:tc>
        <w:tc>
          <w:tcPr>
            <w:tcW w:type="dxa" w:w="1440"/>
          </w:tcPr>
          <w:p>
            <w:r>
              <w:rPr>
                <w:rFonts w:ascii="Times New Roman" w:hAnsi="Times New Roman"/>
                <w:sz w:val="18"/>
              </w:rPr>
              <w:t>The high god's governance</w:t>
            </w:r>
          </w:p>
        </w:tc>
        <w:tc>
          <w:tcPr>
            <w:tcW w:type="dxa" w:w="1440"/>
          </w:tcPr>
          <w:p>
            <w:r>
              <w:rPr>
                <w:rFonts w:ascii="Times New Roman" w:hAnsi="Times New Roman"/>
                <w:sz w:val="18"/>
              </w:rPr>
              <w:t>Mythological withdrawal after creation</w:t>
            </w:r>
          </w:p>
        </w:tc>
        <w:tc>
          <w:tcPr>
            <w:tcW w:type="dxa" w:w="1440"/>
          </w:tcPr>
          <w:p>
            <w:r>
              <w:rPr>
                <w:rFonts w:ascii="Times New Roman" w:hAnsi="Times New Roman"/>
                <w:sz w:val="18"/>
              </w:rPr>
              <w:t>Mythological / god-level</w:t>
            </w:r>
          </w:p>
        </w:tc>
        <w:tc>
          <w:tcPr>
            <w:tcW w:type="dxa" w:w="1440"/>
          </w:tcPr>
          <w:p>
            <w:r>
              <w:rPr>
                <w:rFonts w:ascii="Times New Roman" w:hAnsi="Times New Roman"/>
                <w:sz w:val="18"/>
              </w:rPr>
              <w:t>God-level withdrawal; release is norm-level, function-specific</w:t>
            </w:r>
          </w:p>
        </w:tc>
      </w:tr>
      <w:tr>
        <w:tc>
          <w:tcPr>
            <w:tcW w:type="dxa" w:w="1440"/>
          </w:tcPr>
          <w:p>
            <w:r>
              <w:rPr>
                <w:rFonts w:ascii="Times New Roman" w:hAnsi="Times New Roman"/>
                <w:sz w:val="18"/>
              </w:rPr>
              <w:t>Vestigial structure (Talmont-Kaminski &amp; Shults, 2024)</w:t>
            </w:r>
          </w:p>
        </w:tc>
        <w:tc>
          <w:tcPr>
            <w:tcW w:type="dxa" w:w="1440"/>
          </w:tcPr>
          <w:p>
            <w:r>
              <w:rPr>
                <w:rFonts w:ascii="Times New Roman" w:hAnsi="Times New Roman"/>
                <w:sz w:val="18"/>
              </w:rPr>
              <w:t>Religious structure</w:t>
            </w:r>
          </w:p>
        </w:tc>
        <w:tc>
          <w:tcPr>
            <w:tcW w:type="dxa" w:w="1440"/>
          </w:tcPr>
          <w:p>
            <w:r>
              <w:rPr>
                <w:rFonts w:ascii="Times New Roman" w:hAnsi="Times New Roman"/>
                <w:sz w:val="18"/>
              </w:rPr>
              <w:t>Original function</w:t>
            </w:r>
          </w:p>
        </w:tc>
        <w:tc>
          <w:tcPr>
            <w:tcW w:type="dxa" w:w="1440"/>
          </w:tcPr>
          <w:p>
            <w:r>
              <w:rPr>
                <w:rFonts w:ascii="Times New Roman" w:hAnsi="Times New Roman"/>
                <w:sz w:val="18"/>
              </w:rPr>
              <w:t>Loss of function; trait persists as vestige</w:t>
            </w:r>
          </w:p>
        </w:tc>
        <w:tc>
          <w:tcPr>
            <w:tcW w:type="dxa" w:w="1440"/>
          </w:tcPr>
          <w:p>
            <w:r>
              <w:rPr>
                <w:rFonts w:ascii="Times New Roman" w:hAnsi="Times New Roman"/>
                <w:sz w:val="18"/>
              </w:rPr>
              <w:t>Trait / tradition-level</w:t>
            </w:r>
          </w:p>
        </w:tc>
        <w:tc>
          <w:tcPr>
            <w:tcW w:type="dxa" w:w="1440"/>
          </w:tcPr>
          <w:p>
            <w:r>
              <w:rPr>
                <w:rFonts w:ascii="Times New Roman" w:hAnsi="Times New Roman"/>
                <w:sz w:val="18"/>
              </w:rPr>
              <w:t>Inverted: in release the norm persists, the scaffold recedes</w:t>
            </w:r>
          </w:p>
        </w:tc>
      </w:tr>
      <w:tr>
        <w:tc>
          <w:tcPr>
            <w:tcW w:type="dxa" w:w="1440"/>
          </w:tcPr>
          <w:p>
            <w:r>
              <w:rPr>
                <w:rFonts w:ascii="Times New Roman" w:hAnsi="Times New Roman"/>
                <w:sz w:val="18"/>
              </w:rPr>
              <w:t>Norm life-cycle (Finnemore &amp; Sikkink, 1998)</w:t>
            </w:r>
          </w:p>
        </w:tc>
        <w:tc>
          <w:tcPr>
            <w:tcW w:type="dxa" w:w="1440"/>
          </w:tcPr>
          <w:p>
            <w:r>
              <w:rPr>
                <w:rFonts w:ascii="Times New Roman" w:hAnsi="Times New Roman"/>
                <w:sz w:val="18"/>
              </w:rPr>
              <w:t>Internalised norm</w:t>
            </w:r>
          </w:p>
        </w:tc>
        <w:tc>
          <w:tcPr>
            <w:tcW w:type="dxa" w:w="1440"/>
          </w:tcPr>
          <w:p>
            <w:r>
              <w:rPr>
                <w:rFonts w:ascii="Times New Roman" w:hAnsi="Times New Roman"/>
                <w:sz w:val="18"/>
              </w:rPr>
              <w:t>External enforcement</w:t>
            </w:r>
          </w:p>
        </w:tc>
        <w:tc>
          <w:tcPr>
            <w:tcW w:type="dxa" w:w="1440"/>
          </w:tcPr>
          <w:p>
            <w:r>
              <w:rPr>
                <w:rFonts w:ascii="Times New Roman" w:hAnsi="Times New Roman"/>
                <w:sz w:val="18"/>
              </w:rPr>
              <w:t>Taken-for-granted compliance</w:t>
            </w:r>
          </w:p>
        </w:tc>
        <w:tc>
          <w:tcPr>
            <w:tcW w:type="dxa" w:w="1440"/>
          </w:tcPr>
          <w:p>
            <w:r>
              <w:rPr>
                <w:rFonts w:ascii="Times New Roman" w:hAnsi="Times New Roman"/>
                <w:sz w:val="18"/>
              </w:rPr>
              <w:t>Norm-level</w:t>
            </w:r>
          </w:p>
        </w:tc>
        <w:tc>
          <w:tcPr>
            <w:tcW w:type="dxa" w:w="1440"/>
          </w:tcPr>
          <w:p>
            <w:r>
              <w:rPr>
                <w:rFonts w:ascii="Times New Roman" w:hAnsi="Times New Roman"/>
                <w:sz w:val="18"/>
              </w:rPr>
              <w:t>Shares the endpoint; release theorises what happens to the carrier</w:t>
            </w:r>
          </w:p>
        </w:tc>
      </w:tr>
      <w:tr>
        <w:tc>
          <w:tcPr>
            <w:tcW w:type="dxa" w:w="1440"/>
          </w:tcPr>
          <w:p>
            <w:r>
              <w:rPr>
                <w:rFonts w:ascii="Times New Roman" w:hAnsi="Times New Roman"/>
                <w:sz w:val="18"/>
              </w:rPr>
              <w:t>Normative release (this article)</w:t>
            </w:r>
          </w:p>
        </w:tc>
        <w:tc>
          <w:tcPr>
            <w:tcW w:type="dxa" w:w="1440"/>
          </w:tcPr>
          <w:p>
            <w:r>
              <w:rPr>
                <w:rFonts w:ascii="Times New Roman" w:hAnsi="Times New Roman"/>
                <w:sz w:val="18"/>
              </w:rPr>
              <w:t>The norm (cross-generational)</w:t>
            </w:r>
          </w:p>
        </w:tc>
        <w:tc>
          <w:tcPr>
            <w:tcW w:type="dxa" w:w="1440"/>
          </w:tcPr>
          <w:p>
            <w:r>
              <w:rPr>
                <w:rFonts w:ascii="Times New Roman" w:hAnsi="Times New Roman"/>
                <w:sz w:val="18"/>
              </w:rPr>
              <w:t>Explicit salience of the carrier</w:t>
            </w:r>
          </w:p>
        </w:tc>
        <w:tc>
          <w:tcPr>
            <w:tcW w:type="dxa" w:w="1440"/>
          </w:tcPr>
          <w:p>
            <w:r>
              <w:rPr>
                <w:rFonts w:ascii="Times New Roman" w:hAnsi="Times New Roman"/>
                <w:sz w:val="18"/>
              </w:rPr>
              <w:t>Possible completion of a transmissive function</w:t>
            </w:r>
          </w:p>
        </w:tc>
        <w:tc>
          <w:tcPr>
            <w:tcW w:type="dxa" w:w="1440"/>
          </w:tcPr>
          <w:p>
            <w:r>
              <w:rPr>
                <w:rFonts w:ascii="Times New Roman" w:hAnsi="Times New Roman"/>
                <w:sz w:val="18"/>
              </w:rPr>
              <w:t>Norm-specific, cultural</w:t>
            </w:r>
          </w:p>
        </w:tc>
        <w:tc>
          <w:tcPr>
            <w:tcW w:type="dxa" w:w="1440"/>
          </w:tcPr>
          <w:p>
            <w:r>
              <w:rPr>
                <w:rFonts w:ascii="Times New Roman" w:hAnsi="Times New Roman"/>
                <w:sz w:val="18"/>
              </w:rPr>
              <w:t>—</w:t>
            </w:r>
          </w:p>
        </w:tc>
      </w:tr>
    </w:tbl>
    <w:p>
      <w:pPr>
        <w:spacing w:before="0" w:after="120" w:line="480" w:lineRule="auto"/>
      </w:pPr>
      <w:r>
        <w:rPr>
          <w:rFonts w:ascii="Times New Roman" w:hAnsi="Times New Roman"/>
          <w:b/>
          <w:sz w:val="24"/>
        </w:rPr>
        <w:t>Anscombe's survival.</w:t>
      </w:r>
      <w:r>
        <w:rPr>
          <w:rFonts w:ascii="Times New Roman" w:hAnsi="Times New Roman"/>
          <w:sz w:val="24"/>
        </w:rPr>
        <w:t xml:space="preserve"> In </w:t>
      </w:r>
      <w:r>
        <w:rPr>
          <w:rFonts w:ascii="Times New Roman" w:hAnsi="Times New Roman"/>
          <w:i/>
          <w:sz w:val="24"/>
        </w:rPr>
        <w:t>Modern Moral Philosophy</w:t>
      </w:r>
      <w:r>
        <w:rPr>
          <w:rFonts w:ascii="Times New Roman" w:hAnsi="Times New Roman"/>
          <w:sz w:val="24"/>
        </w:rPr>
        <w:t>, Anscombe (1958) argues that the moral "ought"—obligation, duty, being bound as by law—is a survival of a divine-law framework that "no longer generally survives," rendered incoherent by the legislator's departure: the concepts "remain though they had lost their root." The structure is ours: carrier recedes, norm persists. The interpretation differs. Anscombe reads persistence as a conceptual residue that corrupts moral philosophy without its theological root. Normative release keeps a second reading open: survival after theological recession need not have a single interpretation, and the continued work of a norm may register completed transmission rather than orphaned vocabulary. We do not resolve Anscombe's worry—she may be right that some survivals are incoherent—we deny that incoherence is the only diagnosis.</w:t>
      </w:r>
    </w:p>
    <w:p>
      <w:pPr>
        <w:spacing w:before="0" w:after="120" w:line="480" w:lineRule="auto"/>
      </w:pPr>
      <w:r>
        <w:rPr>
          <w:rFonts w:ascii="Times New Roman" w:hAnsi="Times New Roman"/>
          <w:b/>
          <w:sz w:val="24"/>
        </w:rPr>
        <w:t>Nietzsche's shadows.</w:t>
      </w:r>
      <w:r>
        <w:rPr>
          <w:rFonts w:ascii="Times New Roman" w:hAnsi="Times New Roman"/>
          <w:sz w:val="24"/>
        </w:rPr>
        <w:t xml:space="preserve"> God is dead, but "given the way of men, there may still be caves for thousands of years in which his shadow will be shown" (Nietzsche, 1974/1882, §108): moral and metaphysical structures persist after belief has withdrawn. Again the structure matches; again the valence differs. The shadow is cast </w:t>
      </w:r>
      <w:r>
        <w:rPr>
          <w:rFonts w:ascii="Times New Roman" w:hAnsi="Times New Roman"/>
          <w:i/>
          <w:sz w:val="24"/>
        </w:rPr>
        <w:t>by</w:t>
      </w:r>
      <w:r>
        <w:rPr>
          <w:rFonts w:ascii="Times New Roman" w:hAnsi="Times New Roman"/>
          <w:sz w:val="24"/>
        </w:rPr>
        <w:t xml:space="preserve"> the absent god and is expected to fade. We ask instead: could some apparent shadows be not residual dependencies but norms that have become culturally self-sustaining—no longer shadows at all, but independent inhabitants of the cave?</w:t>
      </w:r>
    </w:p>
    <w:p>
      <w:pPr>
        <w:spacing w:before="0" w:after="120" w:line="480" w:lineRule="auto"/>
      </w:pPr>
      <w:r>
        <w:rPr>
          <w:rFonts w:ascii="Times New Roman" w:hAnsi="Times New Roman"/>
          <w:b/>
          <w:sz w:val="24"/>
        </w:rPr>
        <w:t>Religion residue.</w:t>
      </w:r>
      <w:r>
        <w:rPr>
          <w:rFonts w:ascii="Times New Roman" w:hAnsi="Times New Roman"/>
          <w:sz w:val="24"/>
        </w:rPr>
        <w:t xml:space="preserve"> Residue is measured at the individual level, in the disaffiliated person's retained values. Release is a claim about norm-level, cultural, potentially intergenerational reproduction: not "religious people who left still carry the values" but "the norm's reproduction no longer routes through the representation." The difference matters diagnostically: residue decays as cohorts turn over (indeed the residue literature documents decay alongside persistence—Van Tongeren et al., 2021b), whereas a norm in release should reproduce stably across generations without the scaffold.</w:t>
      </w:r>
    </w:p>
    <w:p>
      <w:pPr>
        <w:spacing w:before="0" w:after="120" w:line="480" w:lineRule="auto"/>
      </w:pPr>
      <w:r>
        <w:rPr>
          <w:rFonts w:ascii="Times New Roman" w:hAnsi="Times New Roman"/>
          <w:b/>
          <w:sz w:val="24"/>
        </w:rPr>
        <w:t>Deus otiosus.</w:t>
      </w:r>
      <w:r>
        <w:rPr>
          <w:rFonts w:ascii="Times New Roman" w:hAnsi="Times New Roman"/>
          <w:sz w:val="24"/>
        </w:rPr>
        <w:t xml:space="preserve"> The mythological figure of the withdrawn high god—a creator who retires from governing the world after establishing its order—is well attested (Eliade, 1959; see also Deist and Nyāya-Vaiśeṣika analogues). Deus otiosus is a god-level withdrawal from world-governance; normative release is function-specific independence of a norm from its carrier. A deity may be released from one transmissive role while remaining, in principle, active in others; conversely an otiosus god who never carried the norm at all exhibits no release. The concepts are orthogonal and must not be conflated.</w:t>
      </w:r>
    </w:p>
    <w:p>
      <w:pPr>
        <w:spacing w:before="0" w:after="120" w:line="480" w:lineRule="auto"/>
      </w:pPr>
      <w:r>
        <w:rPr>
          <w:rFonts w:ascii="Times New Roman" w:hAnsi="Times New Roman"/>
          <w:b/>
          <w:sz w:val="24"/>
        </w:rPr>
        <w:t>Vestigialisation.</w:t>
      </w:r>
      <w:r>
        <w:rPr>
          <w:rFonts w:ascii="Times New Roman" w:hAnsi="Times New Roman"/>
          <w:sz w:val="24"/>
        </w:rPr>
        <w:t xml:space="preserve"> Talmont-Kaminski and Shults (2024) argue that modern religious traits increasingly exhibit the marks of biological vestiges—increasing variability, decreasing costliness, novel functions—as the structures' original functions decay. The survivors are inverted between the two models: in vestigialisation, </w:t>
      </w:r>
      <w:r>
        <w:rPr>
          <w:rFonts w:ascii="Times New Roman" w:hAnsi="Times New Roman"/>
          <w:i/>
          <w:sz w:val="24"/>
        </w:rPr>
        <w:t>function</w:t>
      </w:r>
      <w:r>
        <w:rPr>
          <w:rFonts w:ascii="Times New Roman" w:hAnsi="Times New Roman"/>
          <w:sz w:val="24"/>
        </w:rPr>
        <w:t xml:space="preserve"> fades while the religious </w:t>
      </w:r>
      <w:r>
        <w:rPr>
          <w:rFonts w:ascii="Times New Roman" w:hAnsi="Times New Roman"/>
          <w:i/>
          <w:sz w:val="24"/>
        </w:rPr>
        <w:t>structure</w:t>
      </w:r>
      <w:r>
        <w:rPr>
          <w:rFonts w:ascii="Times New Roman" w:hAnsi="Times New Roman"/>
          <w:sz w:val="24"/>
        </w:rPr>
        <w:t xml:space="preserve"> remains; in normative release, the religious </w:t>
      </w:r>
      <w:r>
        <w:rPr>
          <w:rFonts w:ascii="Times New Roman" w:hAnsi="Times New Roman"/>
          <w:i/>
          <w:sz w:val="24"/>
        </w:rPr>
        <w:t>scaffold</w:t>
      </w:r>
      <w:r>
        <w:rPr>
          <w:rFonts w:ascii="Times New Roman" w:hAnsi="Times New Roman"/>
          <w:sz w:val="24"/>
        </w:rPr>
        <w:t xml:space="preserve"> recedes while the </w:t>
      </w:r>
      <w:r>
        <w:rPr>
          <w:rFonts w:ascii="Times New Roman" w:hAnsi="Times New Roman"/>
          <w:i/>
          <w:sz w:val="24"/>
        </w:rPr>
        <w:t>norm</w:t>
      </w:r>
      <w:r>
        <w:rPr>
          <w:rFonts w:ascii="Times New Roman" w:hAnsi="Times New Roman"/>
          <w:sz w:val="24"/>
        </w:rPr>
        <w:t xml:space="preserve"> remains and continues to reproduce. The models are not rivals. Within a single tradition, one function may vestigialise (a rite whose point is forgotten persists as pageantry) while another is released (a water-safety norm that no longer needs its kappa). Whether a given case is vestige or release is an empirical question about what still reproduces.</w:t>
      </w:r>
    </w:p>
    <w:p>
      <w:pPr>
        <w:spacing w:before="0" w:after="120" w:line="480" w:lineRule="auto"/>
      </w:pPr>
      <w:r>
        <w:rPr>
          <w:rFonts w:ascii="Times New Roman" w:hAnsi="Times New Roman"/>
          <w:b/>
          <w:sz w:val="24"/>
        </w:rPr>
        <w:t>Distinguishing conditions.</w:t>
      </w:r>
      <w:r>
        <w:rPr>
          <w:rFonts w:ascii="Times New Roman" w:hAnsi="Times New Roman"/>
          <w:sz w:val="24"/>
        </w:rPr>
        <w:t xml:space="preserve"> Release requires: (i) the norm was historically transmitted in significant part through the representation; (ii) the norm continues to reproduce robustly, including across generations; (iii) continued reproduction no longer depends on the representation's salience. Absent (ii), we have ordinary decay; absent (iii), ordinary embedded religiosity; absent (i), a norm that never needed gods at all.</w:t>
      </w:r>
    </w:p>
    <w:p>
      <w:pPr>
        <w:spacing w:before="0" w:after="120"/>
      </w:pPr>
      <w:r>
        <w:rPr>
          <w:rFonts w:ascii="Times New Roman" w:hAnsi="Times New Roman"/>
          <w:b/>
          <w:sz w:val="26"/>
        </w:rPr>
        <w:t>5. The self-effacement paradox</w:t>
      </w:r>
    </w:p>
    <w:p>
      <w:pPr>
        <w:spacing w:before="0" w:after="120" w:line="480" w:lineRule="auto"/>
      </w:pPr>
      <w:r>
        <w:rPr>
          <w:rFonts w:ascii="Times New Roman" w:hAnsi="Times New Roman"/>
          <w:sz w:val="24"/>
        </w:rPr>
        <w:t xml:space="preserve">Normative release yields a general interpretive consequence. Religious success is conventionally gauged by adherents, worship frequency, explicit belief, institutional persistence—all measures of </w:t>
      </w:r>
      <w:r>
        <w:rPr>
          <w:rFonts w:ascii="Times New Roman" w:hAnsi="Times New Roman"/>
          <w:i/>
          <w:sz w:val="24"/>
        </w:rPr>
        <w:t>visible</w:t>
      </w:r>
      <w:r>
        <w:rPr>
          <w:rFonts w:ascii="Times New Roman" w:hAnsi="Times New Roman"/>
          <w:sz w:val="24"/>
        </w:rPr>
        <w:t xml:space="preserve"> religion. But if a norm's transmission succeeds completely, its reproduction requires no explicit religious mediation: successful transmission reduces the need for explicit enforcement. A religious tradition may therefore become least visible precisely where one of its transmissive functions has succeeded most completely. We call this the </w:t>
      </w:r>
      <w:r>
        <w:rPr>
          <w:rFonts w:ascii="Times New Roman" w:hAnsi="Times New Roman"/>
          <w:i/>
          <w:sz w:val="24"/>
        </w:rPr>
        <w:t>self-effacement paradox of religious transmission</w:t>
      </w:r>
      <w:r>
        <w:rPr>
          <w:rFonts w:ascii="Times New Roman" w:hAnsi="Times New Roman"/>
          <w:sz w:val="24"/>
        </w:rPr>
        <w:t>.</w:t>
      </w:r>
    </w:p>
    <w:p>
      <w:pPr>
        <w:spacing w:before="0" w:after="120" w:line="480" w:lineRule="auto"/>
      </w:pPr>
      <w:r>
        <w:rPr>
          <w:rFonts w:ascii="Times New Roman" w:hAnsi="Times New Roman"/>
          <w:sz w:val="24"/>
        </w:rPr>
        <w:t xml:space="preserve">The paradox has bite because measurement conflates salience with function. Declining explicit religiosity is routinely read as functional loss; the paradox says the same observation is compatible, in some cases, with completed transmission. This does not rescue religion from decline, nor does it make decline illusory: many recessions are plainly losses—norms lapse, rituals die unpractised, traditions are uprooted. The point is narrower and diagnostic. Wherever explicit religion has receded </w:t>
      </w:r>
      <w:r>
        <w:rPr>
          <w:rFonts w:ascii="Times New Roman" w:hAnsi="Times New Roman"/>
          <w:i/>
          <w:sz w:val="24"/>
        </w:rPr>
        <w:t>and</w:t>
      </w:r>
      <w:r>
        <w:rPr>
          <w:rFonts w:ascii="Times New Roman" w:hAnsi="Times New Roman"/>
          <w:sz w:val="24"/>
        </w:rPr>
        <w:t xml:space="preserve"> a historically associated norm continues to reproduce, two hypotheses compete—failure of the carrier, or completion of the function—and they are distinguishable in principle by testing whether the norm still reproduces independently.</w:t>
      </w:r>
    </w:p>
    <w:p>
      <w:pPr>
        <w:spacing w:before="0" w:after="120" w:line="480" w:lineRule="auto"/>
      </w:pPr>
      <w:r>
        <w:rPr>
          <w:rFonts w:ascii="Times New Roman" w:hAnsi="Times New Roman"/>
          <w:sz w:val="24"/>
        </w:rPr>
        <w:t>The paradox also warns against over-reading. "Decline might be success" is not a licence to count every empty church as a triumph; the falsification conditions in Section 8 exist precisely to keep the interpretation disciplined.</w:t>
      </w:r>
    </w:p>
    <w:p>
      <w:pPr>
        <w:spacing w:before="0" w:after="120"/>
      </w:pPr>
      <w:r>
        <w:rPr>
          <w:rFonts w:ascii="Times New Roman" w:hAnsi="Times New Roman"/>
          <w:b/>
          <w:sz w:val="26"/>
        </w:rPr>
        <w:t>6. A cyclical model of normative renewal</w:t>
      </w:r>
    </w:p>
    <w:p>
      <w:pPr>
        <w:spacing w:before="0" w:after="120" w:line="480" w:lineRule="auto"/>
      </w:pPr>
      <w:r>
        <w:rPr>
          <w:rFonts w:ascii="Times New Roman" w:hAnsi="Times New Roman"/>
          <w:sz w:val="24"/>
        </w:rPr>
        <w:t>Internalisation is not an endpoint, because the environment that generated the norm keeps moving. Norm life-cycle models conventionally stop at internalisation: emergence, cascade, then taken-for-granted compliance (Finnemore &amp; Sikkink, 1998). But nothing in social life guarantees that the conditions under which a norm was formed will persist. After Internalisation(t) → Normative Release(t), the context itself changes—Context(t+1) ≠ Context(t)—and once the context changes, there is no presumption that the inherited norm remains adequate: Norm(t+1) may differ from Norm(t). The endpoint of the received model is thus a waypoint in ours.</w:t>
      </w:r>
    </w:p>
    <w:p>
      <w:pPr>
        <w:spacing w:before="0" w:after="120" w:line="480" w:lineRule="auto"/>
      </w:pPr>
      <w:r>
        <w:rPr>
          <w:rFonts w:ascii="Times New Roman" w:hAnsi="Times New Roman"/>
          <w:sz w:val="24"/>
        </w:rPr>
        <w:t xml:space="preserve">Nor is release preservation. Normative release is not the freezing of an old norm in place; it is closer to the opposite. Where a norm remains explicitly bound to a divine command, revision may also have to contend with the authority attributed to that command. Once the norm reproduces on its own, the command that fixed it no longer has to be renegotiated for the norm to be reconsidered. Release therefore can </w:t>
      </w:r>
      <w:r>
        <w:rPr>
          <w:rFonts w:ascii="Times New Roman" w:hAnsi="Times New Roman"/>
          <w:i/>
          <w:sz w:val="24"/>
        </w:rPr>
        <w:t>enable</w:t>
      </w:r>
      <w:r>
        <w:rPr>
          <w:rFonts w:ascii="Times New Roman" w:hAnsi="Times New Roman"/>
          <w:sz w:val="24"/>
        </w:rPr>
        <w:t xml:space="preserve"> normative updating: Norm(t) → internalisation → release → contextual change → normative reconsideration → Norm(t+1). What was carried without the carrier can also be carried differently.</w:t>
      </w:r>
    </w:p>
    <w:p>
      <w:pPr>
        <w:spacing w:before="0" w:after="120" w:line="480" w:lineRule="auto"/>
      </w:pPr>
      <w:r>
        <w:rPr>
          <w:rFonts w:ascii="Times New Roman" w:hAnsi="Times New Roman"/>
          <w:sz w:val="24"/>
        </w:rPr>
        <w:t>The model we propose is accordingly cyclical and norm-specific (Figure 1):</w:t>
      </w:r>
    </w:p>
    <w:p>
      <w:pPr>
        <w:spacing w:before="0" w:after="120" w:line="480" w:lineRule="auto"/>
      </w:pPr>
      <w:r>
        <w:rPr>
          <w:rFonts w:ascii="Times New Roman" w:hAnsi="Times New Roman"/>
          <w:sz w:val="24"/>
        </w:rPr>
        <w:t>Problem(t) → Norm(t) → Religious scaffold(t) → Narrative/ritual(t) → recursive incorporation → internalisation → normative release → contextual change → Problem(t+1) → Norm(t+1)</w:t>
      </w:r>
    </w:p>
    <w:p>
      <w:pPr>
        <w:spacing w:before="0" w:after="120" w:line="480" w:lineRule="auto"/>
      </w:pPr>
      <w:r>
        <w:rPr>
          <w:rFonts w:ascii="Times New Roman" w:hAnsi="Times New Roman"/>
          <w:sz w:val="24"/>
        </w:rPr>
        <w:t>Contextual change—technology, ecology, climate, urbanisation, medicine, communication, political institutions, warfare, family forms, artificial intelligence—generates new problems for which the inherited norm may be maladapted. Then Norm(t+1) ≠ Norm(t), and the cycle begins again, with or without a new scaffold. Because the cycle is norm-specific rather than tradition-level, it differs from revival-cycle accounts in which whole traditions surge and recede (cf. Fogel's awakenings, in which technological change outpaces ethical capacity; Fogel, 2000), and from cyclical or dialectical models of secularisation at the civilisational scale (cf. Martin, 1978). A tradition is, on this view, not a fixed doctrine but a historically situated process of transmission, completion, and renewal—Recover → Reflect → Internalise → Release → Renew—iterated over norms rather than over the tradition as a whole.</w:t>
      </w:r>
    </w:p>
    <w:p>
      <w:pPr>
        <w:spacing w:before="0" w:after="120" w:line="480" w:lineRule="auto"/>
      </w:pPr>
      <w:r>
        <w:rPr>
          <w:rFonts w:ascii="Times New Roman" w:hAnsi="Times New Roman"/>
          <w:sz w:val="24"/>
        </w:rPr>
        <w:t xml:space="preserve">Conceptually, one may write the historical embeddedness of a tradition as </w:t>
      </w:r>
      <m:oMath>
        <m:sSub>
          <m:e>
            <m:r>
              <m:rPr>
                <m:sty m:val="i"/>
              </m:rPr>
              <w:rPr>
                <w:rFonts w:ascii="Times New Roman" w:hAnsi="Times New Roman" w:cs="Times New Roman" w:eastAsia="Times New Roman"/>
              </w:rPr>
              <m:t>H</m:t>
            </m:r>
          </m:e>
          <m:sub>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T</m:t>
            </m:r>
          </m:sub>
        </m:sSub>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A</m:t>
            </m:r>
          </m:sub>
        </m:sSub>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E</m:t>
            </m:r>
          </m:e>
          <m:sub>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i"/>
          </m:rPr>
          <w:rPr>
            <w:rFonts w:ascii="Times New Roman" w:hAnsi="Times New Roman" w:cs="Times New Roman" w:eastAsia="Times New Roman"/>
          </w:rPr>
          <m:t>x</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i"/>
          </m:rPr>
          <w:rPr>
            <w:rFonts w:ascii="Times New Roman" w:hAnsi="Times New Roman" w:cs="Times New Roman" w:eastAsia="Times New Roman"/>
          </w:rPr>
          <m:t>t</m:t>
        </m:r>
      </m:oMath>
      <w:r>
        <w:rPr>
          <w:rFonts w:ascii="Times New Roman" w:hAnsi="Times New Roman"/>
          <w:sz w:val="24"/>
        </w:rPr>
        <w:t>—a gesture only, meant to visualise that a currently marginal tradition may nonetheless have shaped very many lives across long periods and wide regions. We deliberately impose no completeness constraint (∑ᵣ Eᵣ = 1): the same person's conduct may simultaneously carry several traditions' norms. Current prevalence is not equivalent to historical significance.</w:t>
      </w:r>
    </w:p>
    <w:p>
      <w:pPr>
        <w:spacing w:before="0" w:after="120"/>
      </w:pPr>
      <w:r>
        <w:rPr>
          <w:rFonts w:ascii="Times New Roman" w:hAnsi="Times New Roman"/>
          <w:b/>
          <w:sz w:val="26"/>
        </w:rPr>
        <w:t>7. Religious renewal without restoration</w:t>
      </w:r>
    </w:p>
    <w:p>
      <w:pPr>
        <w:spacing w:before="0" w:after="120" w:line="480" w:lineRule="auto"/>
      </w:pPr>
      <w:r>
        <w:rPr>
          <w:rFonts w:ascii="Times New Roman" w:hAnsi="Times New Roman"/>
          <w:sz w:val="24"/>
        </w:rPr>
        <w:t>This brings the argument back to its starting point: a religious tradition that is now largely forgotten need not be valued at zero merely because its present adherent count is near zero. Present religious affiliation is a temporal snapshot, not a measure of the cumulative historical significance of a tradition. A tradition that today retains few explicit adherents may nonetheless have organised birth, marriage, death, seasonal life, agriculture, ecological conduct, kinship, reciprocity, and relations to place over long periods and wide regions; such a record constitutes a historical normative repertoire that remains a legitimate object of reconsideration. Nor should the snapshot be read through a one-person-one-religion assumption: a single person may participate simultaneously in several festivals, ancestral practices, and religious traditions, so affiliation-style bookkeeping understates distributed engagement in the first place.</w:t>
      </w:r>
    </w:p>
    <w:p>
      <w:pPr>
        <w:spacing w:before="0" w:after="120" w:line="480" w:lineRule="auto"/>
      </w:pPr>
      <w:r>
        <w:rPr>
          <w:rFonts w:ascii="Times New Roman" w:hAnsi="Times New Roman"/>
          <w:sz w:val="24"/>
        </w:rPr>
        <w:t>If revival is defined as the exact restoration of an earlier religious form under its original social conditions, it is an unrealistic standard: those conditions are no longer recoverable in full. We define revival instead as the recovery and selective reintegration of dormant normative repertoires:</w:t>
      </w:r>
    </w:p>
    <w:p>
      <w:pPr>
        <w:spacing w:before="0" w:after="120" w:line="480" w:lineRule="auto"/>
      </w:pPr>
      <w:r>
        <w:rPr>
          <w:rFonts w:ascii="Times New Roman" w:hAnsi="Times New Roman"/>
          <w:sz w:val="24"/>
        </w:rPr>
        <w:t>Historical repertoire → Retrieval → Critical reflection → Selective reintegration → Renewed living practice (Figure 3)</w:t>
      </w:r>
    </w:p>
    <w:p>
      <w:pPr>
        <w:jc w:val="center"/>
      </w:pPr>
      <w:r>
        <w:drawing>
          <wp:inline xmlns:a="http://schemas.openxmlformats.org/drawingml/2006/main" xmlns:pic="http://schemas.openxmlformats.org/drawingml/2006/picture">
            <wp:extent cx="5303520" cy="2395230"/>
            <wp:docPr id="3" name="Picture 3"/>
            <wp:cNvGraphicFramePr>
              <a:graphicFrameLocks noChangeAspect="1"/>
            </wp:cNvGraphicFramePr>
            <a:graphic>
              <a:graphicData uri="http://schemas.openxmlformats.org/drawingml/2006/picture">
                <pic:pic>
                  <pic:nvPicPr>
                    <pic:cNvPr id="0" name="fig3_revival.png"/>
                    <pic:cNvPicPr/>
                  </pic:nvPicPr>
                  <pic:blipFill>
                    <a:blip r:embed="rId11"/>
                    <a:stretch>
                      <a:fillRect/>
                    </a:stretch>
                  </pic:blipFill>
                  <pic:spPr>
                    <a:xfrm>
                      <a:off x="0" y="0"/>
                      <a:ext cx="5303520" cy="2395230"/>
                    </a:xfrm>
                    <a:prstGeom prst="rect"/>
                  </pic:spPr>
                </pic:pic>
              </a:graphicData>
            </a:graphic>
          </wp:inline>
        </w:drawing>
      </w:r>
    </w:p>
    <w:p>
      <w:pPr>
        <w:spacing w:before="0" w:after="120"/>
      </w:pPr>
      <w:r>
        <w:rPr>
          <w:rFonts w:ascii="Times New Roman" w:hAnsi="Times New Roman"/>
          <w:sz w:val="20"/>
        </w:rPr>
        <w:t>Figure 3. Revival without restoration.</w:t>
      </w:r>
    </w:p>
    <w:p>
      <w:pPr>
        <w:spacing w:before="0" w:after="120" w:line="480" w:lineRule="auto"/>
      </w:pPr>
      <w:r>
        <w:rPr>
          <w:rFonts w:ascii="Times New Roman" w:hAnsi="Times New Roman"/>
          <w:sz w:val="24"/>
        </w:rPr>
        <w:t>What is recovered is not believers but relations—people–place, people–ancestors, people–season, people–ritual, people–narrative, people–community, generation–generation—and the normative repertoires encoded in them. Retrieval without reflection is antiquarianism; reflection without selection is nostalgia. Selection must answer four questions: what problem did this norm answer? What was it protecting? Does the problem persist in modified form? What should the norm become now? Antiquarian authority confers no warrant: discriminatory, dangerous, or unintelligible survivals are to be rejected.</w:t>
      </w:r>
    </w:p>
    <w:p>
      <w:pPr>
        <w:spacing w:before="0" w:after="120" w:line="480" w:lineRule="auto"/>
      </w:pPr>
      <w:r>
        <w:rPr>
          <w:rFonts w:ascii="Times New Roman" w:hAnsi="Times New Roman"/>
          <w:sz w:val="24"/>
        </w:rPr>
        <w:t xml:space="preserve">Two warnings from adjacent literatures discipline this account. First, revival reconstructs: Wallace's (1956) revitalization movements and Hobsbawm and Ranger's (1983) invented traditions show that "returns" fabricate as much as they recover—renewed practice is a new cultural product wearing inherited materials, which our model accepts rather than denies. Second, revival can misfire by </w:t>
      </w:r>
      <w:r>
        <w:rPr>
          <w:rFonts w:ascii="Times New Roman" w:hAnsi="Times New Roman"/>
          <w:i/>
          <w:sz w:val="24"/>
        </w:rPr>
        <w:t>scripturalization</w:t>
      </w:r>
      <w:r>
        <w:rPr>
          <w:rFonts w:ascii="Times New Roman" w:hAnsi="Times New Roman"/>
          <w:sz w:val="24"/>
        </w:rPr>
        <w:t xml:space="preserve">: attempts to revive diffuse, local, overlapping, or contradictory traditions may inadvertently reconstruct them in the image of bounded, doctrinal, canon-centred religion—fragmented tradition → reconstruction → systematisation → doctrinalisation → canonisation → orthodoxy—destroying the plurality that made the tradition vital. Scripturalization is an established term for the process by which texts and traditions acquire scriptural status (Cantwell Smith, 1993; Wimbush, 2015); the </w:t>
      </w:r>
      <w:r>
        <w:rPr>
          <w:rFonts w:ascii="Times New Roman" w:hAnsi="Times New Roman"/>
          <w:i/>
          <w:sz w:val="24"/>
        </w:rPr>
        <w:t>trap</w:t>
      </w:r>
      <w:r>
        <w:rPr>
          <w:rFonts w:ascii="Times New Roman" w:hAnsi="Times New Roman"/>
          <w:sz w:val="24"/>
        </w:rPr>
        <w:t xml:space="preserve"> we name is the deformation of practice-centered traditions by canon-centred reconstruction, overlapping but not identical with heritageisation and invention-of-tradition critiques. We flag it as a hazard of revival, not the centre of this paper.</w:t>
      </w:r>
    </w:p>
    <w:p>
      <w:pPr>
        <w:spacing w:before="0" w:after="120" w:line="480" w:lineRule="auto"/>
      </w:pPr>
      <w:r>
        <w:rPr>
          <w:rFonts w:ascii="Times New Roman" w:hAnsi="Times New Roman"/>
          <w:sz w:val="24"/>
        </w:rPr>
        <w:t>Shinto illustrates the practice-centered pole without exemplifying it: weak formal creed and non-exclusive membership coexist with durable ritual continuity across place, season, and household (Reader, 1991; Nelson, 2000)—practice without strong exclusive confession. We treat it as an illustration of what can be transmitted and renewed, not as an ideal type or a claim about Japanese uniqueness.</w:t>
      </w:r>
    </w:p>
    <w:p>
      <w:pPr>
        <w:spacing w:before="0" w:after="120"/>
      </w:pPr>
      <w:r>
        <w:rPr>
          <w:rFonts w:ascii="Times New Roman" w:hAnsi="Times New Roman"/>
          <w:b/>
          <w:sz w:val="26"/>
        </w:rPr>
        <w:t>8. Discussion</w:t>
      </w:r>
    </w:p>
    <w:p>
      <w:pPr>
        <w:spacing w:before="0" w:after="120" w:line="480" w:lineRule="auto"/>
      </w:pPr>
      <w:r>
        <w:rPr>
          <w:rFonts w:ascii="Times New Roman" w:hAnsi="Times New Roman"/>
          <w:b/>
          <w:sz w:val="24"/>
        </w:rPr>
        <w:t>Release vs. perpetual authority.</w:t>
      </w:r>
      <w:r>
        <w:rPr>
          <w:rFonts w:ascii="Times New Roman" w:hAnsi="Times New Roman"/>
          <w:sz w:val="24"/>
        </w:rPr>
        <w:t xml:space="preserve"> Two pathways organize a tradition's relation to novel problems, and they may differ in normative adaptability. In the </w:t>
      </w:r>
      <w:r>
        <w:rPr>
          <w:rFonts w:ascii="Times New Roman" w:hAnsi="Times New Roman"/>
          <w:i/>
          <w:sz w:val="24"/>
        </w:rPr>
        <w:t>release pathway</w:t>
      </w:r>
      <w:r>
        <w:rPr>
          <w:rFonts w:ascii="Times New Roman" w:hAnsi="Times New Roman"/>
          <w:sz w:val="24"/>
        </w:rPr>
        <w:t>, Religious Representation(t) → Norm(t) → internalisation → normative release: a particular representation completes a particular transmissive role, and when Problem(t+1) arrives there is room to form Norm(t+1) without routing the answer back through the original carrier. The representation's silence on the new problem is not a failure of authority; it is the expected consequence of a completed function.</w:t>
      </w:r>
    </w:p>
    <w:p>
      <w:pPr>
        <w:spacing w:before="0" w:after="120" w:line="480" w:lineRule="auto"/>
      </w:pPr>
      <w:r>
        <w:rPr>
          <w:rFonts w:ascii="Times New Roman" w:hAnsi="Times New Roman"/>
          <w:sz w:val="24"/>
        </w:rPr>
        <w:t xml:space="preserve">In the </w:t>
      </w:r>
      <w:r>
        <w:rPr>
          <w:rFonts w:ascii="Times New Roman" w:hAnsi="Times New Roman"/>
          <w:i/>
          <w:sz w:val="24"/>
        </w:rPr>
        <w:t>perpetual-authority pathway</w:t>
      </w:r>
      <w:r>
        <w:rPr>
          <w:rFonts w:ascii="Times New Roman" w:hAnsi="Times New Roman"/>
          <w:sz w:val="24"/>
        </w:rPr>
        <w:t>, Religious Authority(t) → Norm(t) is retained as a standing relation: when Problem(t+1) arises, an answer consistent with Religious Authority(t) → Norm(t+1) may be required—the same sacred authority is expected to adjudicate indefinitely across historically novel conditions. Whether this produces stricter, slower, or simply different normative updating is not obvious a priori: perpetual authority may constrain adaptation, or it may supply a stable frame within which adaptation is negotiated.</w:t>
      </w:r>
    </w:p>
    <w:p>
      <w:pPr>
        <w:spacing w:before="0" w:after="120" w:line="480" w:lineRule="auto"/>
      </w:pPr>
      <w:r>
        <w:rPr>
          <w:rFonts w:ascii="Times New Roman" w:hAnsi="Times New Roman"/>
          <w:sz w:val="24"/>
        </w:rPr>
        <w:t>We therefore pose the comparison strictly as a question: does normative adaptability differ between traditions that permit particular sacred representations to complete specific transmissive roles and traditions in which the same sacred authority is expected to adjudicate indefinitely across historically novel conditions? To our knowledge the question is untheorised, and we offer it as a comparative research hypothesis rather than a conclusion. Its doctrinal mechanics—how authority is interpreted, enforced, and aggregated—belong to a separate analysis and are deliberately left to future work.</w:t>
      </w:r>
    </w:p>
    <w:p>
      <w:pPr>
        <w:spacing w:before="0" w:after="120" w:line="480" w:lineRule="auto"/>
      </w:pPr>
      <w:r>
        <w:rPr>
          <w:rFonts w:ascii="Times New Roman" w:hAnsi="Times New Roman"/>
          <w:b/>
          <w:sz w:val="24"/>
        </w:rPr>
        <w:t>Complementarity with vestigialisation.</w:t>
      </w:r>
      <w:r>
        <w:rPr>
          <w:rFonts w:ascii="Times New Roman" w:hAnsi="Times New Roman"/>
          <w:sz w:val="24"/>
        </w:rPr>
        <w:t xml:space="preserve"> A tradition is a bundle of functions. Some may vestigialise—structure persists, function decays—while others release—function transferred, scaffold recedes—and still others remain actively enforced. Decline narratives that track only visibility miss this decomposition; the interesting empirical programme is differential diagnosis function by function.</w:t>
      </w:r>
    </w:p>
    <w:p>
      <w:pPr>
        <w:spacing w:before="0" w:after="120" w:line="480" w:lineRule="auto"/>
      </w:pPr>
      <w:r>
        <w:rPr>
          <w:rFonts w:ascii="Times New Roman" w:hAnsi="Times New Roman"/>
          <w:b/>
          <w:sz w:val="24"/>
        </w:rPr>
        <w:t>Limits of functional interpretation.</w:t>
      </w:r>
      <w:r>
        <w:rPr>
          <w:rFonts w:ascii="Times New Roman" w:hAnsi="Times New Roman"/>
          <w:sz w:val="24"/>
        </w:rPr>
        <w:t xml:space="preserve"> Normative release is a hypothesis about one function—normative transmission—among many. Representations also console, sacralise, legitimise, mark identity, orient cosmologically; release of a transmissive function says nothing about the others. Nor does release claim that norms need gods to persist—many norms plainly do not—or that gods are invented for norms. The claim is conditional: where a representation did carry a norm, its later dispensability admits a completion reading.</w:t>
      </w:r>
    </w:p>
    <w:p>
      <w:pPr>
        <w:spacing w:before="0" w:after="120" w:line="480" w:lineRule="auto"/>
      </w:pPr>
      <w:r>
        <w:rPr>
          <w:rFonts w:ascii="Times New Roman" w:hAnsi="Times New Roman"/>
          <w:b/>
          <w:sz w:val="24"/>
        </w:rPr>
        <w:t>Falsification.</w:t>
      </w:r>
      <w:r>
        <w:rPr>
          <w:rFonts w:ascii="Times New Roman" w:hAnsi="Times New Roman"/>
          <w:sz w:val="24"/>
        </w:rPr>
        <w:t xml:space="preserve"> The concept weakens if: (1) norm persistence after carrier recession is sufficiently explained by non-religious pathways; (2) putatively released norms turn out not to reproduce without continued covert dependence on the representation; (3) post-recession persistence is short-lived residue rather than cross-generational reproduction; (4) release cannot be distinguished empirically from ordinary secularisation; (5) norm renewal needs no reference to the religious scaffold's history; or (6) the revival account collapses into existing heritage or lived-religion theory. These are stated so the concept cannot absorb every case of religious recession.</w:t>
      </w:r>
    </w:p>
    <w:p>
      <w:pPr>
        <w:spacing w:before="0" w:after="120" w:line="480" w:lineRule="auto"/>
      </w:pPr>
      <w:r>
        <w:rPr>
          <w:rFonts w:ascii="Times New Roman" w:hAnsi="Times New Roman"/>
          <w:b/>
          <w:sz w:val="24"/>
        </w:rPr>
        <w:t>Implications for measurement.</w:t>
      </w:r>
      <w:r>
        <w:rPr>
          <w:rFonts w:ascii="Times New Roman" w:hAnsi="Times New Roman"/>
          <w:sz w:val="24"/>
        </w:rPr>
        <w:t xml:space="preserve"> If the most thoroughly internalised norms are precisely those least visible to affiliation and practice measures, current religious statistics systematically under-register completed transmission. That implication—about legibility and observability bias—we flag but defer: it belongs to a companion analysis of how religion is counted.</w:t>
      </w:r>
    </w:p>
    <w:p>
      <w:pPr>
        <w:spacing w:before="0" w:after="120" w:line="480" w:lineRule="auto"/>
      </w:pPr>
      <w:r>
        <w:rPr>
          <w:rFonts w:ascii="Times New Roman" w:hAnsi="Times New Roman"/>
          <w:b/>
          <w:sz w:val="24"/>
        </w:rPr>
        <w:t>A closing metaphor, marked as such.</w:t>
      </w:r>
      <w:r>
        <w:rPr>
          <w:rFonts w:ascii="Times New Roman" w:hAnsi="Times New Roman"/>
          <w:sz w:val="24"/>
        </w:rPr>
        <w:t xml:space="preserve"> Not an empirical claim but an interpretive image: a deity released from a particular transmissive role need not be imagined as defeated or forgotten. A deity may be imagined to step back and watch quietly while humans carry on what once required a divine voice. Silence, on this reading, can mark completion rather than absence.</w:t>
      </w:r>
    </w:p>
    <w:p>
      <w:pPr>
        <w:spacing w:before="0" w:after="120"/>
      </w:pPr>
      <w:r>
        <w:rPr>
          <w:rFonts w:ascii="Times New Roman" w:hAnsi="Times New Roman"/>
          <w:b/>
          <w:sz w:val="26"/>
        </w:rPr>
        <w:t>9. Conclusion</w:t>
      </w:r>
    </w:p>
    <w:p>
      <w:pPr>
        <w:spacing w:before="0" w:after="120" w:line="480" w:lineRule="auto"/>
      </w:pPr>
      <w:r>
        <w:rPr>
          <w:rFonts w:ascii="Times New Roman" w:hAnsi="Times New Roman"/>
          <w:sz w:val="24"/>
        </w:rPr>
        <w:t xml:space="preserve">The take-away is not that gods are unnecessary, nor that old religions should be restored. Religious representations may sometimes serve as temporary cultural scaffolds through which norms, relationships, and meanings become embedded in ordinary life; when those norms can reproduce without continuous divine enforcement, the fading of explicit representation need not signify failure. It may sometimes mark </w:t>
      </w:r>
      <w:r>
        <w:rPr>
          <w:rFonts w:ascii="Times New Roman" w:hAnsi="Times New Roman"/>
          <w:i/>
          <w:sz w:val="24"/>
        </w:rPr>
        <w:t>normative release</w:t>
      </w:r>
      <w:r>
        <w:rPr>
          <w:rFonts w:ascii="Times New Roman" w:hAnsi="Times New Roman"/>
          <w:sz w:val="24"/>
        </w:rPr>
        <w:t>—the point at which a tradition can, metaphorically, say: carry it without me. And because environments change, release is not a terminus: new problems call forth new norms, and traditions that endure may do so less by keeping their gods permanently active than by allowing what the gods once carried to be taken up, reworked, and carried forward in human life.</w:t>
      </w:r>
    </w:p>
    <w:p>
      <w:pPr>
        <w:spacing w:before="0" w:after="120"/>
      </w:pPr>
      <w:r>
        <w:rPr>
          <w:rFonts w:ascii="Times New Roman" w:hAnsi="Times New Roman"/>
          <w:b/>
          <w:sz w:val="26"/>
        </w:rPr>
        <w:t>Acknowledgements</w:t>
      </w:r>
    </w:p>
    <w:p>
      <w:pPr>
        <w:spacing w:before="0" w:after="120" w:line="480" w:lineRule="auto"/>
      </w:pPr>
      <w:r>
        <w:rPr>
          <w:rFonts w:ascii="Times New Roman" w:hAnsi="Times New Roman"/>
          <w:sz w:val="24"/>
        </w:rPr>
        <w:t>[To be completed.]</w:t>
      </w:r>
    </w:p>
    <w:p>
      <w:pPr>
        <w:spacing w:before="0" w:after="120"/>
      </w:pPr>
      <w:r>
        <w:rPr>
          <w:rFonts w:ascii="Times New Roman" w:hAnsi="Times New Roman"/>
          <w:b/>
          <w:sz w:val="26"/>
        </w:rPr>
        <w:t>Disclosure statement</w:t>
      </w:r>
    </w:p>
    <w:p>
      <w:pPr>
        <w:spacing w:before="0" w:after="120" w:line="480" w:lineRule="auto"/>
      </w:pPr>
      <w:r>
        <w:rPr>
          <w:rFonts w:ascii="Times New Roman" w:hAnsi="Times New Roman"/>
          <w:sz w:val="24"/>
        </w:rPr>
        <w:t>No potential conflict of interest was reported by the author.</w:t>
      </w:r>
    </w:p>
    <w:p>
      <w:pPr>
        <w:spacing w:before="0" w:after="120"/>
      </w:pPr>
      <w:r>
        <w:rPr>
          <w:rFonts w:ascii="Times New Roman" w:hAnsi="Times New Roman"/>
          <w:b/>
          <w:sz w:val="26"/>
        </w:rPr>
        <w:t>References</w:t>
      </w:r>
    </w:p>
    <w:p>
      <w:pPr>
        <w:spacing w:line="480" w:lineRule="auto"/>
        <w:ind w:left="720" w:hanging="720"/>
      </w:pPr>
      <w:r>
        <w:rPr>
          <w:rFonts w:ascii="Times New Roman" w:hAnsi="Times New Roman"/>
          <w:sz w:val="24"/>
        </w:rPr>
        <w:t xml:space="preserve">Ammerman, N. T. (2007). </w:t>
      </w:r>
      <w:r>
        <w:rPr>
          <w:rFonts w:ascii="Times New Roman" w:hAnsi="Times New Roman"/>
          <w:i/>
          <w:sz w:val="24"/>
        </w:rPr>
        <w:t>Everyday religion: Observing modern religious lives</w:t>
      </w:r>
      <w:r>
        <w:rPr>
          <w:rFonts w:ascii="Times New Roman" w:hAnsi="Times New Roman"/>
          <w:sz w:val="24"/>
        </w:rPr>
        <w:t>. Oxford University Press.</w:t>
      </w:r>
    </w:p>
    <w:p>
      <w:pPr>
        <w:spacing w:line="480" w:lineRule="auto"/>
        <w:ind w:left="720" w:hanging="720"/>
      </w:pPr>
      <w:r>
        <w:rPr>
          <w:rFonts w:ascii="Times New Roman" w:hAnsi="Times New Roman"/>
          <w:sz w:val="24"/>
        </w:rPr>
        <w:t xml:space="preserve">Anscombe, G. E. M. (1958). Modern moral philosophy. </w:t>
      </w:r>
      <w:r>
        <w:rPr>
          <w:rFonts w:ascii="Times New Roman" w:hAnsi="Times New Roman"/>
          <w:i/>
          <w:sz w:val="24"/>
        </w:rPr>
        <w:t>Philosophy, 33</w:t>
      </w:r>
      <w:r>
        <w:rPr>
          <w:rFonts w:ascii="Times New Roman" w:hAnsi="Times New Roman"/>
          <w:sz w:val="24"/>
        </w:rPr>
        <w:t>(124), 1–19. https://doi.org/10.1017/S0031819100037943</w:t>
      </w:r>
    </w:p>
    <w:p>
      <w:pPr>
        <w:spacing w:line="480" w:lineRule="auto"/>
        <w:ind w:left="720" w:hanging="720"/>
      </w:pPr>
      <w:r>
        <w:rPr>
          <w:rFonts w:ascii="Times New Roman" w:hAnsi="Times New Roman"/>
          <w:sz w:val="24"/>
        </w:rPr>
        <w:t xml:space="preserve">Beheim, B., Atkinson, Q. D., Bulbulia, J., Gervais, W., Gray, R. D., Henrich, J., Lang, M., Monroe, M. W., Muthukrishna, M., Norenzayan, A., Purzycki, B. G., Shariff, A., Slingerland, E., Spicer, R., &amp; Willard, A. K. (2021). Treatment of missing data determines conclusions regarding moralizing gods. </w:t>
      </w:r>
      <w:r>
        <w:rPr>
          <w:rFonts w:ascii="Times New Roman" w:hAnsi="Times New Roman"/>
          <w:i/>
          <w:sz w:val="24"/>
        </w:rPr>
        <w:t>Nature, 595</w:t>
      </w:r>
      <w:r>
        <w:rPr>
          <w:rFonts w:ascii="Times New Roman" w:hAnsi="Times New Roman"/>
          <w:sz w:val="24"/>
        </w:rPr>
        <w:t>(7866), E29–E34. https://doi.org/10.1038/s41586-021-03655-4</w:t>
      </w:r>
    </w:p>
    <w:p>
      <w:pPr>
        <w:spacing w:line="480" w:lineRule="auto"/>
        <w:ind w:left="720" w:hanging="720"/>
      </w:pPr>
      <w:r>
        <w:rPr>
          <w:rFonts w:ascii="Times New Roman" w:hAnsi="Times New Roman"/>
          <w:sz w:val="24"/>
        </w:rPr>
        <w:t xml:space="preserve">Boyer, P. (2001). </w:t>
      </w:r>
      <w:r>
        <w:rPr>
          <w:rFonts w:ascii="Times New Roman" w:hAnsi="Times New Roman"/>
          <w:i/>
          <w:sz w:val="24"/>
        </w:rPr>
        <w:t>Religion explained: The evolutionary origins of religious thought</w:t>
      </w:r>
      <w:r>
        <w:rPr>
          <w:rFonts w:ascii="Times New Roman" w:hAnsi="Times New Roman"/>
          <w:sz w:val="24"/>
        </w:rPr>
        <w:t>. Basic Books.</w:t>
      </w:r>
    </w:p>
    <w:p>
      <w:pPr>
        <w:spacing w:line="480" w:lineRule="auto"/>
        <w:ind w:left="720" w:hanging="720"/>
      </w:pPr>
      <w:r>
        <w:rPr>
          <w:rFonts w:ascii="Times New Roman" w:hAnsi="Times New Roman"/>
          <w:sz w:val="24"/>
        </w:rPr>
        <w:t xml:space="preserve">Cantwell Smith, W. (1993). </w:t>
      </w:r>
      <w:r>
        <w:rPr>
          <w:rFonts w:ascii="Times New Roman" w:hAnsi="Times New Roman"/>
          <w:i/>
          <w:sz w:val="24"/>
        </w:rPr>
        <w:t>What is scripture? A comparative approach</w:t>
      </w:r>
      <w:r>
        <w:rPr>
          <w:rFonts w:ascii="Times New Roman" w:hAnsi="Times New Roman"/>
          <w:sz w:val="24"/>
        </w:rPr>
        <w:t>. Fortress Press.</w:t>
      </w:r>
    </w:p>
    <w:p>
      <w:pPr>
        <w:spacing w:line="480" w:lineRule="auto"/>
        <w:ind w:left="720" w:hanging="720"/>
      </w:pPr>
      <w:r>
        <w:rPr>
          <w:rFonts w:ascii="Times New Roman" w:hAnsi="Times New Roman"/>
          <w:sz w:val="24"/>
        </w:rPr>
        <w:t xml:space="preserve">Davie, G. (1994). </w:t>
      </w:r>
      <w:r>
        <w:rPr>
          <w:rFonts w:ascii="Times New Roman" w:hAnsi="Times New Roman"/>
          <w:i/>
          <w:sz w:val="24"/>
        </w:rPr>
        <w:t>Religion in Britain since 1945: Believing without belonging</w:t>
      </w:r>
      <w:r>
        <w:rPr>
          <w:rFonts w:ascii="Times New Roman" w:hAnsi="Times New Roman"/>
          <w:sz w:val="24"/>
        </w:rPr>
        <w:t>. Blackwell.</w:t>
      </w:r>
    </w:p>
    <w:p>
      <w:pPr>
        <w:spacing w:line="480" w:lineRule="auto"/>
        <w:ind w:left="720" w:hanging="720"/>
      </w:pPr>
      <w:r>
        <w:rPr>
          <w:rFonts w:ascii="Times New Roman" w:hAnsi="Times New Roman"/>
          <w:sz w:val="24"/>
        </w:rPr>
        <w:t xml:space="preserve">Eliade, M. (1959). </w:t>
      </w:r>
      <w:r>
        <w:rPr>
          <w:rFonts w:ascii="Times New Roman" w:hAnsi="Times New Roman"/>
          <w:i/>
          <w:sz w:val="24"/>
        </w:rPr>
        <w:t>The sacred and the profane: The nature of religion</w:t>
      </w:r>
      <w:r>
        <w:rPr>
          <w:rFonts w:ascii="Times New Roman" w:hAnsi="Times New Roman"/>
          <w:sz w:val="24"/>
        </w:rPr>
        <w:t xml:space="preserve"> (W. R. Trask, Trans.). Harcourt, Brace &amp; World. (Original work published 1957)</w:t>
      </w:r>
    </w:p>
    <w:p>
      <w:pPr>
        <w:spacing w:line="480" w:lineRule="auto"/>
        <w:ind w:left="720" w:hanging="720"/>
      </w:pPr>
      <w:r>
        <w:rPr>
          <w:rFonts w:ascii="Times New Roman" w:hAnsi="Times New Roman"/>
          <w:sz w:val="24"/>
        </w:rPr>
        <w:t xml:space="preserve">Finnemore, M., &amp; Sikkink, K. (1998). International norm dynamics and political change. </w:t>
      </w:r>
      <w:r>
        <w:rPr>
          <w:rFonts w:ascii="Times New Roman" w:hAnsi="Times New Roman"/>
          <w:i/>
          <w:sz w:val="24"/>
        </w:rPr>
        <w:t>International Organization, 52</w:t>
      </w:r>
      <w:r>
        <w:rPr>
          <w:rFonts w:ascii="Times New Roman" w:hAnsi="Times New Roman"/>
          <w:sz w:val="24"/>
        </w:rPr>
        <w:t>(4), 887–917. https://doi.org/10.1162/002081898550789</w:t>
      </w:r>
    </w:p>
    <w:p>
      <w:pPr>
        <w:spacing w:line="480" w:lineRule="auto"/>
        <w:ind w:left="720" w:hanging="720"/>
      </w:pPr>
      <w:r>
        <w:rPr>
          <w:rFonts w:ascii="Times New Roman" w:hAnsi="Times New Roman"/>
          <w:sz w:val="24"/>
        </w:rPr>
        <w:t xml:space="preserve">Fogel, R. W. (2000). </w:t>
      </w:r>
      <w:r>
        <w:rPr>
          <w:rFonts w:ascii="Times New Roman" w:hAnsi="Times New Roman"/>
          <w:i/>
          <w:sz w:val="24"/>
        </w:rPr>
        <w:t>The fourth great awakening and the future of egalitarianism</w:t>
      </w:r>
      <w:r>
        <w:rPr>
          <w:rFonts w:ascii="Times New Roman" w:hAnsi="Times New Roman"/>
          <w:sz w:val="24"/>
        </w:rPr>
        <w:t>. University of Chicago Press.</w:t>
      </w:r>
    </w:p>
    <w:p>
      <w:pPr>
        <w:spacing w:line="480" w:lineRule="auto"/>
        <w:ind w:left="720" w:hanging="720"/>
      </w:pPr>
      <w:r>
        <w:rPr>
          <w:rFonts w:ascii="Times New Roman" w:hAnsi="Times New Roman"/>
          <w:sz w:val="24"/>
        </w:rPr>
        <w:t xml:space="preserve">Foster, M. D. (1998). The metamorphosis of the kappa: Transformation of folklore to folklorism in Japan. </w:t>
      </w:r>
      <w:r>
        <w:rPr>
          <w:rFonts w:ascii="Times New Roman" w:hAnsi="Times New Roman"/>
          <w:i/>
          <w:sz w:val="24"/>
        </w:rPr>
        <w:t>Asian Folklore Studies, 57</w:t>
      </w:r>
      <w:r>
        <w:rPr>
          <w:rFonts w:ascii="Times New Roman" w:hAnsi="Times New Roman"/>
          <w:sz w:val="24"/>
        </w:rPr>
        <w:t>(1), 1–24. https://doi.org/10.2307/1178994</w:t>
      </w:r>
    </w:p>
    <w:p>
      <w:pPr>
        <w:spacing w:line="480" w:lineRule="auto"/>
        <w:ind w:left="720" w:hanging="720"/>
      </w:pPr>
      <w:r>
        <w:rPr>
          <w:rFonts w:ascii="Times New Roman" w:hAnsi="Times New Roman"/>
          <w:sz w:val="24"/>
        </w:rPr>
        <w:t xml:space="preserve">Gervais, W. M., Willard, A. K., Norenzayan, A., &amp; Henrich, J. (2011). The cultural transmission of faith: Why innate intuitions are necessary, but insufficient, to explain religious belief. </w:t>
      </w:r>
      <w:r>
        <w:rPr>
          <w:rFonts w:ascii="Times New Roman" w:hAnsi="Times New Roman"/>
          <w:i/>
          <w:sz w:val="24"/>
        </w:rPr>
        <w:t>Religion, 41</w:t>
      </w:r>
      <w:r>
        <w:rPr>
          <w:rFonts w:ascii="Times New Roman" w:hAnsi="Times New Roman"/>
          <w:sz w:val="24"/>
        </w:rPr>
        <w:t>(3), 389–410. https://doi.org/10.1080/0048721X.2011.604510</w:t>
      </w:r>
    </w:p>
    <w:p>
      <w:pPr>
        <w:spacing w:line="480" w:lineRule="auto"/>
        <w:ind w:left="720" w:hanging="720"/>
      </w:pPr>
      <w:r>
        <w:rPr>
          <w:rFonts w:ascii="Times New Roman" w:hAnsi="Times New Roman"/>
          <w:sz w:val="24"/>
        </w:rPr>
        <w:t xml:space="preserve">Gintis, H. (2003). The hitchhiker's guide to altruism: Gene–culture coevolution, and the internalization of norms. </w:t>
      </w:r>
      <w:r>
        <w:rPr>
          <w:rFonts w:ascii="Times New Roman" w:hAnsi="Times New Roman"/>
          <w:i/>
          <w:sz w:val="24"/>
        </w:rPr>
        <w:t>Journal of Theoretical Biology, 220</w:t>
      </w:r>
      <w:r>
        <w:rPr>
          <w:rFonts w:ascii="Times New Roman" w:hAnsi="Times New Roman"/>
          <w:sz w:val="24"/>
        </w:rPr>
        <w:t>(4), 407–418. https://doi.org/10.1006/jtbi.2003.3104</w:t>
      </w:r>
    </w:p>
    <w:p>
      <w:pPr>
        <w:spacing w:line="480" w:lineRule="auto"/>
        <w:ind w:left="720" w:hanging="720"/>
      </w:pPr>
      <w:r>
        <w:rPr>
          <w:rFonts w:ascii="Times New Roman" w:hAnsi="Times New Roman"/>
          <w:sz w:val="24"/>
        </w:rPr>
        <w:t xml:space="preserve">Hobsbawm, E., &amp; Ranger, T. (Eds.). (1983). </w:t>
      </w:r>
      <w:r>
        <w:rPr>
          <w:rFonts w:ascii="Times New Roman" w:hAnsi="Times New Roman"/>
          <w:i/>
          <w:sz w:val="24"/>
        </w:rPr>
        <w:t>The invention of tradition</w:t>
      </w:r>
      <w:r>
        <w:rPr>
          <w:rFonts w:ascii="Times New Roman" w:hAnsi="Times New Roman"/>
          <w:sz w:val="24"/>
        </w:rPr>
        <w:t>. Cambridge University Press.</w:t>
      </w:r>
    </w:p>
    <w:p>
      <w:pPr>
        <w:spacing w:line="480" w:lineRule="auto"/>
        <w:ind w:left="720" w:hanging="720"/>
      </w:pPr>
      <w:r>
        <w:rPr>
          <w:rFonts w:ascii="Times New Roman" w:hAnsi="Times New Roman"/>
          <w:sz w:val="24"/>
        </w:rPr>
        <w:t xml:space="preserve">Ishikawa, J. (1985). The kappa legend: A comparative ethnological study on the Japanese water-spirit kappa and its habit of trying to lure horses into ponds. </w:t>
      </w:r>
      <w:r>
        <w:rPr>
          <w:rFonts w:ascii="Times New Roman" w:hAnsi="Times New Roman"/>
          <w:i/>
          <w:sz w:val="24"/>
        </w:rPr>
        <w:t>Folklore Studies, 44</w:t>
      </w:r>
      <w:r>
        <w:rPr>
          <w:rFonts w:ascii="Times New Roman" w:hAnsi="Times New Roman"/>
          <w:sz w:val="24"/>
        </w:rPr>
        <w:t>, 1–6. https://doi.org/10.2307/1177988</w:t>
      </w:r>
    </w:p>
    <w:p>
      <w:pPr>
        <w:spacing w:line="480" w:lineRule="auto"/>
        <w:ind w:left="720" w:hanging="720"/>
      </w:pPr>
      <w:r>
        <w:rPr>
          <w:rFonts w:ascii="Times New Roman" w:hAnsi="Times New Roman"/>
          <w:sz w:val="24"/>
        </w:rPr>
        <w:t xml:space="preserve">Luckmann, T. (1967). </w:t>
      </w:r>
      <w:r>
        <w:rPr>
          <w:rFonts w:ascii="Times New Roman" w:hAnsi="Times New Roman"/>
          <w:i/>
          <w:sz w:val="24"/>
        </w:rPr>
        <w:t>The invisible religion: The problem of religion in modern society</w:t>
      </w:r>
      <w:r>
        <w:rPr>
          <w:rFonts w:ascii="Times New Roman" w:hAnsi="Times New Roman"/>
          <w:sz w:val="24"/>
        </w:rPr>
        <w:t>. Macmillan.</w:t>
      </w:r>
    </w:p>
    <w:p>
      <w:pPr>
        <w:spacing w:line="480" w:lineRule="auto"/>
        <w:ind w:left="720" w:hanging="720"/>
      </w:pPr>
      <w:r>
        <w:rPr>
          <w:rFonts w:ascii="Times New Roman" w:hAnsi="Times New Roman"/>
          <w:sz w:val="24"/>
        </w:rPr>
        <w:t xml:space="preserve">Martin, D. (1978). </w:t>
      </w:r>
      <w:r>
        <w:rPr>
          <w:rFonts w:ascii="Times New Roman" w:hAnsi="Times New Roman"/>
          <w:i/>
          <w:sz w:val="24"/>
        </w:rPr>
        <w:t>A general theory of secularization</w:t>
      </w:r>
      <w:r>
        <w:rPr>
          <w:rFonts w:ascii="Times New Roman" w:hAnsi="Times New Roman"/>
          <w:sz w:val="24"/>
        </w:rPr>
        <w:t>. Blackwell.</w:t>
      </w:r>
    </w:p>
    <w:p>
      <w:pPr>
        <w:spacing w:line="480" w:lineRule="auto"/>
        <w:ind w:left="720" w:hanging="720"/>
      </w:pPr>
      <w:r>
        <w:rPr>
          <w:rFonts w:ascii="Times New Roman" w:hAnsi="Times New Roman"/>
          <w:sz w:val="24"/>
        </w:rPr>
        <w:t xml:space="preserve">McGuire, M. B. (2008). </w:t>
      </w:r>
      <w:r>
        <w:rPr>
          <w:rFonts w:ascii="Times New Roman" w:hAnsi="Times New Roman"/>
          <w:i/>
          <w:sz w:val="24"/>
        </w:rPr>
        <w:t>Lived religion: Faith and practice in everyday life</w:t>
      </w:r>
      <w:r>
        <w:rPr>
          <w:rFonts w:ascii="Times New Roman" w:hAnsi="Times New Roman"/>
          <w:sz w:val="24"/>
        </w:rPr>
        <w:t>. Oxford University Press.</w:t>
      </w:r>
    </w:p>
    <w:p>
      <w:pPr>
        <w:spacing w:line="480" w:lineRule="auto"/>
        <w:ind w:left="720" w:hanging="720"/>
      </w:pPr>
      <w:r>
        <w:rPr>
          <w:rFonts w:ascii="Times New Roman" w:hAnsi="Times New Roman"/>
          <w:sz w:val="24"/>
        </w:rPr>
        <w:t xml:space="preserve">Nelson, J. K. (2000). </w:t>
      </w:r>
      <w:r>
        <w:rPr>
          <w:rFonts w:ascii="Times New Roman" w:hAnsi="Times New Roman"/>
          <w:i/>
          <w:sz w:val="24"/>
        </w:rPr>
        <w:t>Enduring identities: The guise of Shinto in contemporary Japan</w:t>
      </w:r>
      <w:r>
        <w:rPr>
          <w:rFonts w:ascii="Times New Roman" w:hAnsi="Times New Roman"/>
          <w:sz w:val="24"/>
        </w:rPr>
        <w:t>. University of Hawai'i Press.</w:t>
      </w:r>
    </w:p>
    <w:p>
      <w:pPr>
        <w:spacing w:line="480" w:lineRule="auto"/>
        <w:ind w:left="720" w:hanging="720"/>
      </w:pPr>
      <w:r>
        <w:rPr>
          <w:rFonts w:ascii="Times New Roman" w:hAnsi="Times New Roman"/>
          <w:sz w:val="24"/>
        </w:rPr>
        <w:t xml:space="preserve">Nietzsche, F. (1974). </w:t>
      </w:r>
      <w:r>
        <w:rPr>
          <w:rFonts w:ascii="Times New Roman" w:hAnsi="Times New Roman"/>
          <w:i/>
          <w:sz w:val="24"/>
        </w:rPr>
        <w:t>The gay science</w:t>
      </w:r>
      <w:r>
        <w:rPr>
          <w:rFonts w:ascii="Times New Roman" w:hAnsi="Times New Roman"/>
          <w:sz w:val="24"/>
        </w:rPr>
        <w:t xml:space="preserve"> (W. Kaufmann, Trans.). Vintage Books. (Original work published 1882)</w:t>
      </w:r>
    </w:p>
    <w:p>
      <w:pPr>
        <w:spacing w:line="480" w:lineRule="auto"/>
        <w:ind w:left="720" w:hanging="720"/>
      </w:pPr>
      <w:r>
        <w:rPr>
          <w:rFonts w:ascii="Times New Roman" w:hAnsi="Times New Roman"/>
          <w:sz w:val="24"/>
        </w:rPr>
        <w:t xml:space="preserve">Norenzayan, A., Shariff, A. F., Gervais, W. M., Willard, A. K., McNamara, R. A., Slingerland, E., &amp; Henrich, J. (2016). The cultural evolution of prosocial religions. </w:t>
      </w:r>
      <w:r>
        <w:rPr>
          <w:rFonts w:ascii="Times New Roman" w:hAnsi="Times New Roman"/>
          <w:i/>
          <w:sz w:val="24"/>
        </w:rPr>
        <w:t>Behavioral and Brain Sciences, 39</w:t>
      </w:r>
      <w:r>
        <w:rPr>
          <w:rFonts w:ascii="Times New Roman" w:hAnsi="Times New Roman"/>
          <w:sz w:val="24"/>
        </w:rPr>
        <w:t>, e1. https://doi.org/10.1017/S0140525X14001356</w:t>
      </w:r>
    </w:p>
    <w:p>
      <w:pPr>
        <w:spacing w:line="480" w:lineRule="auto"/>
        <w:ind w:left="720" w:hanging="720"/>
      </w:pPr>
      <w:r>
        <w:rPr>
          <w:rFonts w:ascii="Times New Roman" w:hAnsi="Times New Roman"/>
          <w:sz w:val="24"/>
        </w:rPr>
        <w:t xml:space="preserve">Primiano, L. N. (1995). Vernacular religion and the search for method in religious folklife. </w:t>
      </w:r>
      <w:r>
        <w:rPr>
          <w:rFonts w:ascii="Times New Roman" w:hAnsi="Times New Roman"/>
          <w:i/>
          <w:sz w:val="24"/>
        </w:rPr>
        <w:t>Western Folklore, 54</w:t>
      </w:r>
      <w:r>
        <w:rPr>
          <w:rFonts w:ascii="Times New Roman" w:hAnsi="Times New Roman"/>
          <w:sz w:val="24"/>
        </w:rPr>
        <w:t>(1), 37–56. https://doi.org/10.2307/1499910</w:t>
      </w:r>
    </w:p>
    <w:p>
      <w:pPr>
        <w:spacing w:line="480" w:lineRule="auto"/>
        <w:ind w:left="720" w:hanging="720"/>
      </w:pPr>
      <w:r>
        <w:rPr>
          <w:rFonts w:ascii="Times New Roman" w:hAnsi="Times New Roman"/>
          <w:sz w:val="24"/>
        </w:rPr>
        <w:t xml:space="preserve">Purzycki, B. G., Apicella, C., Atkinson, Q. D., Cohen, E., McNamara, R. A., Willard, A. K., Xygalatas, D., Norenzayan, A., &amp; Henrich, J. (2016). Moralistic gods, supernatural punishment and the expansion of human sociality. </w:t>
      </w:r>
      <w:r>
        <w:rPr>
          <w:rFonts w:ascii="Times New Roman" w:hAnsi="Times New Roman"/>
          <w:i/>
          <w:sz w:val="24"/>
        </w:rPr>
        <w:t>Nature, 530</w:t>
      </w:r>
      <w:r>
        <w:rPr>
          <w:rFonts w:ascii="Times New Roman" w:hAnsi="Times New Roman"/>
          <w:sz w:val="24"/>
        </w:rPr>
        <w:t>(7590), 327–330. https://doi.org/10.1038/nature16980</w:t>
      </w:r>
    </w:p>
    <w:p>
      <w:pPr>
        <w:spacing w:line="480" w:lineRule="auto"/>
        <w:ind w:left="720" w:hanging="720"/>
      </w:pPr>
      <w:r>
        <w:rPr>
          <w:rFonts w:ascii="Times New Roman" w:hAnsi="Times New Roman"/>
          <w:sz w:val="24"/>
        </w:rPr>
        <w:t xml:space="preserve">Purzycki, B. G., Willard, A. K., Klocová, E. K., Apicella, C., Atkinson, Q., Baimel, A., Cohen, E., Handley, C., Kundtová Klocová, E., Lesorogol, C., Mathew, S., McNamara, R. A., Moya, C., Norenzayan, A., Placek, C., Soler, M., Vardy, T., Weigel, J., Wildman, W., Xygalatas, D., &amp; Henrich, J. (2022). The moralization bias of gods' minds: A cross-cultural test. </w:t>
      </w:r>
      <w:r>
        <w:rPr>
          <w:rFonts w:ascii="Times New Roman" w:hAnsi="Times New Roman"/>
          <w:i/>
          <w:sz w:val="24"/>
        </w:rPr>
        <w:t>Religion, Brain &amp; Behavior, 12</w:t>
      </w:r>
      <w:r>
        <w:rPr>
          <w:rFonts w:ascii="Times New Roman" w:hAnsi="Times New Roman"/>
          <w:sz w:val="24"/>
        </w:rPr>
        <w:t>(1–2), 38–60. https://doi.org/10.1080/2153599X.2021.2006291</w:t>
      </w:r>
    </w:p>
    <w:p>
      <w:pPr>
        <w:spacing w:line="480" w:lineRule="auto"/>
        <w:ind w:left="720" w:hanging="720"/>
      </w:pPr>
      <w:r>
        <w:rPr>
          <w:rFonts w:ascii="Times New Roman" w:hAnsi="Times New Roman"/>
          <w:sz w:val="24"/>
        </w:rPr>
        <w:t xml:space="preserve">Reader, I. (1991). </w:t>
      </w:r>
      <w:r>
        <w:rPr>
          <w:rFonts w:ascii="Times New Roman" w:hAnsi="Times New Roman"/>
          <w:i/>
          <w:sz w:val="24"/>
        </w:rPr>
        <w:t>Religion in contemporary Japan</w:t>
      </w:r>
      <w:r>
        <w:rPr>
          <w:rFonts w:ascii="Times New Roman" w:hAnsi="Times New Roman"/>
          <w:sz w:val="24"/>
        </w:rPr>
        <w:t>. University of Hawai'i Press.</w:t>
      </w:r>
    </w:p>
    <w:p>
      <w:pPr>
        <w:spacing w:line="480" w:lineRule="auto"/>
        <w:ind w:left="720" w:hanging="720"/>
      </w:pPr>
      <w:r>
        <w:rPr>
          <w:rFonts w:ascii="Times New Roman" w:hAnsi="Times New Roman"/>
          <w:sz w:val="24"/>
        </w:rPr>
        <w:t xml:space="preserve">Schulz, J. F., Bahrami-Rad, D., Beauchamp, J. P., &amp; Henrich, J. (2019). The Church, intensive kinship, and global psychological variation. </w:t>
      </w:r>
      <w:r>
        <w:rPr>
          <w:rFonts w:ascii="Times New Roman" w:hAnsi="Times New Roman"/>
          <w:i/>
          <w:sz w:val="24"/>
        </w:rPr>
        <w:t>Science, 366</w:t>
      </w:r>
      <w:r>
        <w:rPr>
          <w:rFonts w:ascii="Times New Roman" w:hAnsi="Times New Roman"/>
          <w:sz w:val="24"/>
        </w:rPr>
        <w:t>(6466), eaau5141. https://doi.org/10.1126/science.aau5141</w:t>
      </w:r>
    </w:p>
    <w:p>
      <w:pPr>
        <w:spacing w:line="480" w:lineRule="auto"/>
        <w:ind w:left="720" w:hanging="720"/>
      </w:pPr>
      <w:r>
        <w:rPr>
          <w:rFonts w:ascii="Times New Roman" w:hAnsi="Times New Roman"/>
          <w:sz w:val="24"/>
        </w:rPr>
        <w:t xml:space="preserve">Schwadel, P., Hardy, S. A., Van Tongeren, D. R., &amp; DeWall, C. N. (2021). The values of religious nones, dones, and sacralized Americans: Links between changes in religious affiliation and Schwartz values. </w:t>
      </w:r>
      <w:r>
        <w:rPr>
          <w:rFonts w:ascii="Times New Roman" w:hAnsi="Times New Roman"/>
          <w:i/>
          <w:sz w:val="24"/>
        </w:rPr>
        <w:t>Journal of Personality, 89</w:t>
      </w:r>
      <w:r>
        <w:rPr>
          <w:rFonts w:ascii="Times New Roman" w:hAnsi="Times New Roman"/>
          <w:sz w:val="24"/>
        </w:rPr>
        <w:t>(5), 867–882. https://doi.org/10.1111/jopy.12620</w:t>
      </w:r>
    </w:p>
    <w:p>
      <w:pPr>
        <w:spacing w:line="480" w:lineRule="auto"/>
        <w:ind w:left="720" w:hanging="720"/>
      </w:pPr>
      <w:r>
        <w:rPr>
          <w:rFonts w:ascii="Times New Roman" w:hAnsi="Times New Roman"/>
          <w:sz w:val="24"/>
        </w:rPr>
        <w:t xml:space="preserve">Singh, M., Kaptchuk, T. J., &amp; Henrich, J. (2021). Small gods, rituals, and cooperation: The Mentawai water spirit Sikameinan. </w:t>
      </w:r>
      <w:r>
        <w:rPr>
          <w:rFonts w:ascii="Times New Roman" w:hAnsi="Times New Roman"/>
          <w:i/>
          <w:sz w:val="24"/>
        </w:rPr>
        <w:t>Evolution and Human Behavior, 42</w:t>
      </w:r>
      <w:r>
        <w:rPr>
          <w:rFonts w:ascii="Times New Roman" w:hAnsi="Times New Roman"/>
          <w:sz w:val="24"/>
        </w:rPr>
        <w:t>(1), 61–72. https://doi.org/10.1016/j.evolhumbehav.2020.07.008</w:t>
      </w:r>
    </w:p>
    <w:p>
      <w:pPr>
        <w:spacing w:line="480" w:lineRule="auto"/>
        <w:ind w:left="720" w:hanging="720"/>
      </w:pPr>
      <w:r>
        <w:rPr>
          <w:rFonts w:ascii="Times New Roman" w:hAnsi="Times New Roman"/>
          <w:sz w:val="24"/>
        </w:rPr>
        <w:t xml:space="preserve">Talmont-Kaminski, K., &amp; Shults, F. L. (2024). Modern religion as vestigial structure: An evolutionary account of secularisation. </w:t>
      </w:r>
      <w:r>
        <w:rPr>
          <w:rFonts w:ascii="Times New Roman" w:hAnsi="Times New Roman"/>
          <w:i/>
          <w:sz w:val="24"/>
        </w:rPr>
        <w:t>Religion, 54</w:t>
      </w:r>
      <w:r>
        <w:rPr>
          <w:rFonts w:ascii="Times New Roman" w:hAnsi="Times New Roman"/>
          <w:sz w:val="24"/>
        </w:rPr>
        <w:t>(2), 320–332. https://doi.org/10.1080/0048721X.2023.2289421</w:t>
      </w:r>
    </w:p>
    <w:p>
      <w:pPr>
        <w:spacing w:line="480" w:lineRule="auto"/>
        <w:ind w:left="720" w:hanging="720"/>
      </w:pPr>
      <w:r>
        <w:rPr>
          <w:rFonts w:ascii="Times New Roman" w:hAnsi="Times New Roman"/>
          <w:sz w:val="24"/>
        </w:rPr>
        <w:t xml:space="preserve">Van Tongeren, D. R., DeWall, C. N., Chen, Z., Sibley, C. G., &amp; Bulbulia, J. (2021a). Religious residue: Cross-cultural evidence that religious psychology and behavior persist following deidentification. </w:t>
      </w:r>
      <w:r>
        <w:rPr>
          <w:rFonts w:ascii="Times New Roman" w:hAnsi="Times New Roman"/>
          <w:i/>
          <w:sz w:val="24"/>
        </w:rPr>
        <w:t>Journal of Personality and Social Psychology, 120</w:t>
      </w:r>
      <w:r>
        <w:rPr>
          <w:rFonts w:ascii="Times New Roman" w:hAnsi="Times New Roman"/>
          <w:sz w:val="24"/>
        </w:rPr>
        <w:t>(2), 484–503. https://doi.org/10.1037/pspp0000288</w:t>
      </w:r>
    </w:p>
    <w:p>
      <w:pPr>
        <w:spacing w:line="480" w:lineRule="auto"/>
        <w:ind w:left="720" w:hanging="720"/>
      </w:pPr>
      <w:r>
        <w:rPr>
          <w:rFonts w:ascii="Times New Roman" w:hAnsi="Times New Roman"/>
          <w:sz w:val="24"/>
        </w:rPr>
        <w:t xml:space="preserve">Van Tongeren, D. R., DeWall, C. N., Hardy, S. A., &amp; Schwadel, P. (2021b). Religious identity and morality: Evidence for religious residue and decay in moral foundations. </w:t>
      </w:r>
      <w:r>
        <w:rPr>
          <w:rFonts w:ascii="Times New Roman" w:hAnsi="Times New Roman"/>
          <w:i/>
          <w:sz w:val="24"/>
        </w:rPr>
        <w:t>Personality and Social Psychology Bulletin, 47</w:t>
      </w:r>
      <w:r>
        <w:rPr>
          <w:rFonts w:ascii="Times New Roman" w:hAnsi="Times New Roman"/>
          <w:sz w:val="24"/>
        </w:rPr>
        <w:t>(6), 1033–1049. https://doi.org/10.1177/0146167220940810</w:t>
      </w:r>
    </w:p>
    <w:p>
      <w:pPr>
        <w:spacing w:line="480" w:lineRule="auto"/>
        <w:ind w:left="720" w:hanging="720"/>
      </w:pPr>
      <w:r>
        <w:rPr>
          <w:rFonts w:ascii="Times New Roman" w:hAnsi="Times New Roman"/>
          <w:sz w:val="24"/>
        </w:rPr>
        <w:t xml:space="preserve">Voas, D. (2009). The rise and fall of fuzzy fidelity in Europe. </w:t>
      </w:r>
      <w:r>
        <w:rPr>
          <w:rFonts w:ascii="Times New Roman" w:hAnsi="Times New Roman"/>
          <w:i/>
          <w:sz w:val="24"/>
        </w:rPr>
        <w:t>European Sociological Review, 25</w:t>
      </w:r>
      <w:r>
        <w:rPr>
          <w:rFonts w:ascii="Times New Roman" w:hAnsi="Times New Roman"/>
          <w:sz w:val="24"/>
        </w:rPr>
        <w:t>(2), 155–168. https://doi.org/10.1093/esr/jcn044</w:t>
      </w:r>
    </w:p>
    <w:p>
      <w:pPr>
        <w:spacing w:line="480" w:lineRule="auto"/>
        <w:ind w:left="720" w:hanging="720"/>
      </w:pPr>
      <w:r>
        <w:rPr>
          <w:rFonts w:ascii="Times New Roman" w:hAnsi="Times New Roman"/>
          <w:sz w:val="24"/>
        </w:rPr>
        <w:t xml:space="preserve">Wallace, A. F. C. (1956). Revitalization movements. </w:t>
      </w:r>
      <w:r>
        <w:rPr>
          <w:rFonts w:ascii="Times New Roman" w:hAnsi="Times New Roman"/>
          <w:i/>
          <w:sz w:val="24"/>
        </w:rPr>
        <w:t>American Anthropologist, 58</w:t>
      </w:r>
      <w:r>
        <w:rPr>
          <w:rFonts w:ascii="Times New Roman" w:hAnsi="Times New Roman"/>
          <w:sz w:val="24"/>
        </w:rPr>
        <w:t>(2), 264–281. https://doi.org/10.1525/aa.1956.58.2.02a00040</w:t>
      </w:r>
    </w:p>
    <w:p>
      <w:pPr>
        <w:spacing w:line="480" w:lineRule="auto"/>
        <w:ind w:left="720" w:hanging="720"/>
      </w:pPr>
      <w:r>
        <w:rPr>
          <w:rFonts w:ascii="Times New Roman" w:hAnsi="Times New Roman"/>
          <w:sz w:val="24"/>
        </w:rPr>
        <w:t xml:space="preserve">Watts, J., Greenhill, S. J., Atkinson, Q. D., Currie, T. E., Bulbulia, J., &amp; Gray, R. D. (2015). Broad supernatural punishment but not moralizing high gods precede the evolution of political complexity in Austronesia. </w:t>
      </w:r>
      <w:r>
        <w:rPr>
          <w:rFonts w:ascii="Times New Roman" w:hAnsi="Times New Roman"/>
          <w:i/>
          <w:sz w:val="24"/>
        </w:rPr>
        <w:t>Proceedings of the Royal Society B, 282</w:t>
      </w:r>
      <w:r>
        <w:rPr>
          <w:rFonts w:ascii="Times New Roman" w:hAnsi="Times New Roman"/>
          <w:sz w:val="24"/>
        </w:rPr>
        <w:t>(1804), 20142556. https://doi.org/10.1098/rspb.2014.2556</w:t>
      </w:r>
    </w:p>
    <w:p>
      <w:pPr>
        <w:spacing w:line="480" w:lineRule="auto"/>
        <w:ind w:left="720" w:hanging="720"/>
      </w:pPr>
      <w:r>
        <w:rPr>
          <w:rFonts w:ascii="Times New Roman" w:hAnsi="Times New Roman"/>
          <w:sz w:val="24"/>
        </w:rPr>
        <w:t xml:space="preserve">Watts, J., Sheehan, O., Atkinson, Q. D., Bulbulia, J., &amp; Gray, R. D. (2016). Ritual human sacrifice promoted and sustained the evolution of stratified societies. </w:t>
      </w:r>
      <w:r>
        <w:rPr>
          <w:rFonts w:ascii="Times New Roman" w:hAnsi="Times New Roman"/>
          <w:i/>
          <w:sz w:val="24"/>
        </w:rPr>
        <w:t>Nature, 532</w:t>
      </w:r>
      <w:r>
        <w:rPr>
          <w:rFonts w:ascii="Times New Roman" w:hAnsi="Times New Roman"/>
          <w:sz w:val="24"/>
        </w:rPr>
        <w:t>(7598), 228–231. https://doi.org/10.1038/nature17159</w:t>
      </w:r>
    </w:p>
    <w:p>
      <w:pPr>
        <w:spacing w:line="480" w:lineRule="auto"/>
        <w:ind w:left="720" w:hanging="720"/>
      </w:pPr>
      <w:r>
        <w:rPr>
          <w:rFonts w:ascii="Times New Roman" w:hAnsi="Times New Roman"/>
          <w:sz w:val="24"/>
        </w:rPr>
        <w:t xml:space="preserve">Whitehouse, H. (2004). </w:t>
      </w:r>
      <w:r>
        <w:rPr>
          <w:rFonts w:ascii="Times New Roman" w:hAnsi="Times New Roman"/>
          <w:i/>
          <w:sz w:val="24"/>
        </w:rPr>
        <w:t>Modes of religiosity: A cognitive theory of religious transmission</w:t>
      </w:r>
      <w:r>
        <w:rPr>
          <w:rFonts w:ascii="Times New Roman" w:hAnsi="Times New Roman"/>
          <w:sz w:val="24"/>
        </w:rPr>
        <w:t>. AltaMira Press.</w:t>
      </w:r>
    </w:p>
    <w:p>
      <w:pPr>
        <w:spacing w:line="480" w:lineRule="auto"/>
        <w:ind w:left="720" w:hanging="720"/>
      </w:pPr>
      <w:r>
        <w:rPr>
          <w:rFonts w:ascii="Times New Roman" w:hAnsi="Times New Roman"/>
          <w:sz w:val="24"/>
        </w:rPr>
        <w:t xml:space="preserve">Wiener, A. (2014). </w:t>
      </w:r>
      <w:r>
        <w:rPr>
          <w:rFonts w:ascii="Times New Roman" w:hAnsi="Times New Roman"/>
          <w:i/>
          <w:sz w:val="24"/>
        </w:rPr>
        <w:t>A theory of contestation</w:t>
      </w:r>
      <w:r>
        <w:rPr>
          <w:rFonts w:ascii="Times New Roman" w:hAnsi="Times New Roman"/>
          <w:sz w:val="24"/>
        </w:rPr>
        <w:t>. Springer.</w:t>
      </w:r>
    </w:p>
    <w:p>
      <w:pPr>
        <w:spacing w:line="480" w:lineRule="auto"/>
        <w:ind w:left="720" w:hanging="720"/>
      </w:pPr>
      <w:r>
        <w:rPr>
          <w:rFonts w:ascii="Times New Roman" w:hAnsi="Times New Roman"/>
          <w:sz w:val="24"/>
        </w:rPr>
        <w:t xml:space="preserve">Wimbush, V. L. (Ed.). (2015). </w:t>
      </w:r>
      <w:r>
        <w:rPr>
          <w:rFonts w:ascii="Times New Roman" w:hAnsi="Times New Roman"/>
          <w:i/>
          <w:sz w:val="24"/>
        </w:rPr>
        <w:t>Scripturalizing the human: The written as the political</w:t>
      </w:r>
      <w:r>
        <w:rPr>
          <w:rFonts w:ascii="Times New Roman" w:hAnsi="Times New Roman"/>
          <w:sz w:val="24"/>
        </w:rPr>
        <w:t>. Routledge.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