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Accounts of persistence after religious recession: what persists, what recedes, how persistence is interpreted, and at what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What persists?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What recedes?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Interpretation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Scale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Relation to normative release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Anscombe (1958): survival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Moral "ought" vocabulary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Divine-law framework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Problematic survival — concepts lost their root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Conceptual / civilisational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Same structure; release offers a completion reading Anscombe does not consider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Nietzsche (1974/1882): shadow of God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Moral/metaphysical structures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Belief in God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Lingering dependence on an absent 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Cultural / civilisational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Asks whether some "shadows" are self-sustaining, not shadows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Religion residue (Van Tongeren et al., 2021a, 2021b; Schwadel et al., 2021)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Values, moral foundations in "dones"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Religious identification/practice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Persistence of psychological residue after disaffiliation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Individual-level analogue; release adds mechanism + cultural level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Deus otiosus (Eliade, 1959)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Created 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high god's governance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Mythological withdrawal after creation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Mythological / god-level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God-level withdrawal; release is norm-level, function-specific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Vestigial structure (Talmont-Kaminski &amp; Shults, 2024)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Religious structure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Original function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Loss of function; trait persists as vestige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Trait / tradition-level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Inverted: in release the norm persists, the scaffold recedes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 life-cycle (Finnemore &amp; Sikkink, 1998)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Internalised norm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External enforcement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Taken-for-granted compliance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Norm-level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Shares the endpoint; release theorises what happens to the carrier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Normative release (this article)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norm (cross-generational)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Explicit salience of the carrier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Possible completion of a transmissive function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Norm-specific, cultural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