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sz w:val="24"/>
        </w:rPr>
        <w:t>Dear Editors,</w:t>
      </w:r>
    </w:p>
    <w:p>
      <w:r>
        <w:rPr>
          <w:b w:val="0"/>
          <w:i w:val="0"/>
          <w:sz w:val="24"/>
        </w:rPr>
        <w:t xml:space="preserve">I submit "The Reincarnation of the Divine: The Vortex of One and Many in Ever-Changing Worlds" for consideration in </w:t>
      </w:r>
      <w:r>
        <w:rPr>
          <w:i/>
          <w:sz w:val="24"/>
        </w:rPr>
        <w:t>Method &amp; Theory in the Study of Religion</w:t>
      </w:r>
      <w:r>
        <w:rPr>
          <w:b w:val="0"/>
          <w:i w:val="0"/>
          <w:sz w:val="24"/>
        </w:rPr>
        <w:t>.</w:t>
      </w:r>
    </w:p>
    <w:p>
      <w:r>
        <w:rPr>
          <w:b w:val="0"/>
          <w:i w:val="0"/>
          <w:sz w:val="24"/>
        </w:rPr>
        <w:t>The article begins from a question the field has never quite operationalized: why should the aggregation of many gods into one be read as development, when the reverse dispersal can be described with equal formal plausibility as differentiation, articulation, or renewed plurality? The paper answers with an instrument, not another prohibition. Its Directional Symmetry Test requires any developmental characterization of a One–Many transformation to survive reversal of direction — to show that its evaluative content comes from a criterion independent of the transformation's direction, rather than from the direction itself. Applied to the historiography from Tylor and Schmidt to Bellah, the test separates genuine evaluative claims from directional descriptions wearing evaluative costumes.</w:t>
      </w:r>
    </w:p>
    <w:p>
      <w:r>
        <w:rPr>
          <w:b w:val="0"/>
          <w:i w:val="0"/>
          <w:sz w:val="24"/>
        </w:rPr>
        <w:t>The framework then models One and Many not as types or stages but as two configurations of a representational architecture — the partition of divine attributes, functions, narratives, and normative authority across agents and interpreters — and follows the architecture through time. Historical novelty supplies the engine: when environments generate problems that stabilized normative repertoires do not answer, underdetermination turns ontological unity into interpretive plurality through authorized interpretation, and institutions accommodate or recompress the result. Because every transition deposits texts and precedents, the process is a path-dependent vortex, not a cycle. The model ends with authority-scope release — the relinquishment of completed regulatory functions by an authority that remains sacred — a theoretically distinct alternative to indefinite jurisdiction that neither secularization nor the deus otiosus motif quite captures.</w:t>
      </w:r>
    </w:p>
    <w:p>
      <w:r>
        <w:rPr>
          <w:b w:val="0"/>
          <w:i w:val="0"/>
          <w:sz w:val="24"/>
        </w:rPr>
        <w:t>The article speaks to conversations your journal has hosted — on the construction of comparative categories, on cognition and theological incorrectness, and on the critical analysis of the discipline's own vocabulary — and it derives testable hypotheses and explicit falsification conditions rather than an unfalsifiable grand theory. It is not under consideration elsewhere, contains no previously published material, and reports no conflicts of interest.</w:t>
      </w:r>
    </w:p>
    <w:p>
      <w:r>
        <w:rPr>
          <w:b w:val="0"/>
          <w:i w:val="0"/>
          <w:sz w:val="24"/>
        </w:rPr>
        <w:t>Thank you for your consideration.</w:t>
      </w:r>
    </w:p>
    <w:p>
      <w:r>
        <w:rPr>
          <w:b w:val="0"/>
          <w:i w:val="0"/>
          <w:sz w:val="24"/>
        </w:rPr>
        <w:t>Sincerely, [Author name] [Affiliation] [Corresponding address]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