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6"/>
        </w:rPr>
        <w:t>STROBE Statement — checklist for the illustrative analysis</w:t>
      </w:r>
    </w:p>
    <w:p>
      <w:r>
        <w:rPr>
          <w:rFonts w:ascii="Times New Roman" w:hAnsi="Times New Roman"/>
          <w:b w:val="0"/>
          <w:i w:val="0"/>
          <w:sz w:val="20"/>
        </w:rPr>
        <w:t>The illustrative application (“Illustrative Application”) is a secondary analysis of publicly available individual patient data and is reported following the Strengthening the Reporting of Observational Studies in Epidemiology (STROBE) recommendations. Item locations refer to the manuscript sections. STROBE is a reporting guide; the methodological sections of the paper are not observational study reports.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1F2"/>
          </w:tcPr>
          <w:p>
            <w:r/>
            <w:r>
              <w:rPr>
                <w:rFonts w:ascii="Times New Roman" w:hAnsi="Times New Roman"/>
                <w:b/>
                <w:sz w:val="18"/>
              </w:rPr>
              <w:t>Item</w:t>
            </w:r>
          </w:p>
        </w:tc>
        <w:tc>
          <w:tcPr>
            <w:tcW w:type="dxa" w:w="2160"/>
            <w:shd w:val="clear" w:fill="D9E1F2"/>
          </w:tcPr>
          <w:p>
            <w:r/>
            <w:r>
              <w:rPr>
                <w:rFonts w:ascii="Times New Roman" w:hAnsi="Times New Roman"/>
                <w:b/>
                <w:sz w:val="18"/>
              </w:rPr>
              <w:t>STROBE recommendation</w:t>
            </w:r>
          </w:p>
        </w:tc>
        <w:tc>
          <w:tcPr>
            <w:tcW w:type="dxa" w:w="2160"/>
            <w:shd w:val="clear" w:fill="D9E1F2"/>
          </w:tcPr>
          <w:p>
            <w:r/>
            <w:r>
              <w:rPr>
                <w:rFonts w:ascii="Times New Roman" w:hAnsi="Times New Roman"/>
                <w:b/>
                <w:sz w:val="18"/>
              </w:rPr>
              <w:t>How addressed</w:t>
            </w:r>
          </w:p>
        </w:tc>
        <w:tc>
          <w:tcPr>
            <w:tcW w:type="dxa" w:w="2160"/>
            <w:shd w:val="clear" w:fill="D9E1F2"/>
          </w:tcPr>
          <w:p>
            <w:r/>
            <w:r>
              <w:rPr>
                <w:rFonts w:ascii="Times New Roman" w:hAnsi="Times New Roman"/>
                <w:b/>
                <w:sz w:val="18"/>
              </w:rPr>
              <w:t>Location</w:t>
            </w:r>
          </w:p>
        </w:tc>
      </w:tr>
      <w:tr>
        <w:tc>
          <w:tcPr>
            <w:tcW w:type="dxa" w:w="2160"/>
          </w:tcPr>
          <w:p>
            <w:r/>
            <w:r>
              <w:rPr>
                <w:rFonts w:ascii="Times New Roman" w:hAnsi="Times New Roman"/>
                <w:sz w:val="17"/>
              </w:rPr>
              <w:t>1</w:t>
            </w:r>
          </w:p>
        </w:tc>
        <w:tc>
          <w:tcPr>
            <w:tcW w:type="dxa" w:w="2160"/>
          </w:tcPr>
          <w:p>
            <w:r/>
            <w:r>
              <w:rPr>
                <w:rFonts w:ascii="Times New Roman" w:hAnsi="Times New Roman"/>
                <w:sz w:val="17"/>
              </w:rPr>
              <w:t>Title and abstract</w:t>
            </w:r>
          </w:p>
        </w:tc>
        <w:tc>
          <w:tcPr>
            <w:tcW w:type="dxa" w:w="2160"/>
          </w:tcPr>
          <w:p>
            <w:r/>
            <w:r>
              <w:rPr>
                <w:rFonts w:ascii="Times New Roman" w:hAnsi="Times New Roman"/>
                <w:sz w:val="17"/>
              </w:rPr>
              <w:t>Design indicated; abstract summarizes design, data, and findings.</w:t>
            </w:r>
          </w:p>
        </w:tc>
        <w:tc>
          <w:tcPr>
            <w:tcW w:type="dxa" w:w="2160"/>
          </w:tcPr>
          <w:p>
            <w:r/>
            <w:r>
              <w:rPr>
                <w:rFonts w:ascii="Times New Roman" w:hAnsi="Times New Roman"/>
                <w:sz w:val="17"/>
              </w:rPr>
              <w:t>Title; Abstract</w:t>
            </w:r>
          </w:p>
        </w:tc>
      </w:tr>
      <w:tr>
        <w:tc>
          <w:tcPr>
            <w:tcW w:type="dxa" w:w="2160"/>
          </w:tcPr>
          <w:p>
            <w:r/>
            <w:r>
              <w:rPr>
                <w:rFonts w:ascii="Times New Roman" w:hAnsi="Times New Roman"/>
                <w:sz w:val="17"/>
              </w:rPr>
              <w:t>2</w:t>
            </w:r>
          </w:p>
        </w:tc>
        <w:tc>
          <w:tcPr>
            <w:tcW w:type="dxa" w:w="2160"/>
          </w:tcPr>
          <w:p>
            <w:r/>
            <w:r>
              <w:rPr>
                <w:rFonts w:ascii="Times New Roman" w:hAnsi="Times New Roman"/>
                <w:sz w:val="17"/>
              </w:rPr>
              <w:t>Background/rationale</w:t>
            </w:r>
          </w:p>
        </w:tc>
        <w:tc>
          <w:tcPr>
            <w:tcW w:type="dxa" w:w="2160"/>
          </w:tcPr>
          <w:p>
            <w:r/>
            <w:r>
              <w:rPr>
                <w:rFonts w:ascii="Times New Roman" w:hAnsi="Times New Roman"/>
                <w:sz w:val="17"/>
              </w:rPr>
              <w:t>Rationale for the framework and the worked example.</w:t>
            </w:r>
          </w:p>
        </w:tc>
        <w:tc>
          <w:tcPr>
            <w:tcW w:type="dxa" w:w="2160"/>
          </w:tcPr>
          <w:p>
            <w:r/>
            <w:r>
              <w:rPr>
                <w:rFonts w:ascii="Times New Roman" w:hAnsi="Times New Roman"/>
                <w:sz w:val="17"/>
              </w:rPr>
              <w:t>Introduction</w:t>
            </w:r>
          </w:p>
        </w:tc>
      </w:tr>
      <w:tr>
        <w:tc>
          <w:tcPr>
            <w:tcW w:type="dxa" w:w="2160"/>
          </w:tcPr>
          <w:p>
            <w:r/>
            <w:r>
              <w:rPr>
                <w:rFonts w:ascii="Times New Roman" w:hAnsi="Times New Roman"/>
                <w:sz w:val="17"/>
              </w:rPr>
              <w:t>3</w:t>
            </w:r>
          </w:p>
        </w:tc>
        <w:tc>
          <w:tcPr>
            <w:tcW w:type="dxa" w:w="2160"/>
          </w:tcPr>
          <w:p>
            <w:r/>
            <w:r>
              <w:rPr>
                <w:rFonts w:ascii="Times New Roman" w:hAnsi="Times New Roman"/>
                <w:sz w:val="17"/>
              </w:rPr>
              <w:t>Objectives</w:t>
            </w:r>
          </w:p>
        </w:tc>
        <w:tc>
          <w:tcPr>
            <w:tcW w:type="dxa" w:w="2160"/>
          </w:tcPr>
          <w:p>
            <w:r/>
            <w:r>
              <w:rPr>
                <w:rFonts w:ascii="Times New Roman" w:hAnsi="Times New Roman"/>
                <w:sz w:val="17"/>
              </w:rPr>
              <w:t>Objective: demonstrate the integrated pipeline on shared data.</w:t>
            </w:r>
          </w:p>
        </w:tc>
        <w:tc>
          <w:tcPr>
            <w:tcW w:type="dxa" w:w="2160"/>
          </w:tcPr>
          <w:p>
            <w:r/>
            <w:r>
              <w:rPr>
                <w:rFonts w:ascii="Times New Roman" w:hAnsi="Times New Roman"/>
                <w:sz w:val="17"/>
              </w:rPr>
              <w:t>Introduction; Illustrative Application</w:t>
            </w:r>
          </w:p>
        </w:tc>
      </w:tr>
      <w:tr>
        <w:tc>
          <w:tcPr>
            <w:tcW w:type="dxa" w:w="2160"/>
          </w:tcPr>
          <w:p>
            <w:r/>
            <w:r>
              <w:rPr>
                <w:rFonts w:ascii="Times New Roman" w:hAnsi="Times New Roman"/>
                <w:sz w:val="17"/>
              </w:rPr>
              <w:t>4</w:t>
            </w:r>
          </w:p>
        </w:tc>
        <w:tc>
          <w:tcPr>
            <w:tcW w:type="dxa" w:w="2160"/>
          </w:tcPr>
          <w:p>
            <w:r/>
            <w:r>
              <w:rPr>
                <w:rFonts w:ascii="Times New Roman" w:hAnsi="Times New Roman"/>
                <w:sz w:val="17"/>
              </w:rPr>
              <w:t>Study design</w:t>
            </w:r>
          </w:p>
        </w:tc>
        <w:tc>
          <w:tcPr>
            <w:tcW w:type="dxa" w:w="2160"/>
          </w:tcPr>
          <w:p>
            <w:r/>
            <w:r>
              <w:rPr>
                <w:rFonts w:ascii="Times New Roman" w:hAnsi="Times New Roman"/>
                <w:sz w:val="17"/>
              </w:rPr>
              <w:t>Secondary analysis of a randomized trial's public IPD, with latent risk stratification.</w:t>
            </w:r>
          </w:p>
        </w:tc>
        <w:tc>
          <w:tcPr>
            <w:tcW w:type="dxa" w:w="2160"/>
          </w:tcPr>
          <w:p>
            <w:r/>
            <w:r>
              <w:rPr>
                <w:rFonts w:ascii="Times New Roman" w:hAnsi="Times New Roman"/>
                <w:sz w:val="17"/>
              </w:rPr>
              <w:t>Illustrative Application</w:t>
            </w:r>
          </w:p>
        </w:tc>
      </w:tr>
      <w:tr>
        <w:tc>
          <w:tcPr>
            <w:tcW w:type="dxa" w:w="2160"/>
          </w:tcPr>
          <w:p>
            <w:r/>
            <w:r>
              <w:rPr>
                <w:rFonts w:ascii="Times New Roman" w:hAnsi="Times New Roman"/>
                <w:sz w:val="17"/>
              </w:rPr>
              <w:t>5</w:t>
            </w:r>
          </w:p>
        </w:tc>
        <w:tc>
          <w:tcPr>
            <w:tcW w:type="dxa" w:w="2160"/>
          </w:tcPr>
          <w:p>
            <w:r/>
            <w:r>
              <w:rPr>
                <w:rFonts w:ascii="Times New Roman" w:hAnsi="Times New Roman"/>
                <w:sz w:val="17"/>
              </w:rPr>
              <w:t>Setting</w:t>
            </w:r>
          </w:p>
        </w:tc>
        <w:tc>
          <w:tcPr>
            <w:tcW w:type="dxa" w:w="2160"/>
          </w:tcPr>
          <w:p>
            <w:r/>
            <w:r>
              <w:rPr>
                <w:rFonts w:ascii="Times New Roman" w:hAnsi="Times New Roman"/>
                <w:sz w:val="17"/>
              </w:rPr>
              <w:t>International Stroke Trial, 1991–1996; public database.</w:t>
            </w:r>
          </w:p>
        </w:tc>
        <w:tc>
          <w:tcPr>
            <w:tcW w:type="dxa" w:w="2160"/>
          </w:tcPr>
          <w:p>
            <w:r/>
            <w:r>
              <w:rPr>
                <w:rFonts w:ascii="Times New Roman" w:hAnsi="Times New Roman"/>
                <w:sz w:val="17"/>
              </w:rPr>
              <w:t>Illustrative Application; Refs 12, 13</w:t>
            </w:r>
          </w:p>
        </w:tc>
      </w:tr>
      <w:tr>
        <w:tc>
          <w:tcPr>
            <w:tcW w:type="dxa" w:w="2160"/>
          </w:tcPr>
          <w:p>
            <w:r/>
            <w:r>
              <w:rPr>
                <w:rFonts w:ascii="Times New Roman" w:hAnsi="Times New Roman"/>
                <w:sz w:val="17"/>
              </w:rPr>
              <w:t>6</w:t>
            </w:r>
          </w:p>
        </w:tc>
        <w:tc>
          <w:tcPr>
            <w:tcW w:type="dxa" w:w="2160"/>
          </w:tcPr>
          <w:p>
            <w:r/>
            <w:r>
              <w:rPr>
                <w:rFonts w:ascii="Times New Roman" w:hAnsi="Times New Roman"/>
                <w:sz w:val="17"/>
              </w:rPr>
              <w:t>Participants</w:t>
            </w:r>
          </w:p>
        </w:tc>
        <w:tc>
          <w:tcPr>
            <w:tcW w:type="dxa" w:w="2160"/>
          </w:tcPr>
          <w:p>
            <w:r/>
            <w:r>
              <w:rPr>
                <w:rFonts w:ascii="Times New Roman" w:hAnsi="Times New Roman"/>
                <w:sz w:val="17"/>
              </w:rPr>
              <w:t>18,451 patients with acute ischaemic stroke; eligibility as in the source trial.</w:t>
            </w:r>
          </w:p>
        </w:tc>
        <w:tc>
          <w:tcPr>
            <w:tcW w:type="dxa" w:w="2160"/>
          </w:tcPr>
          <w:p>
            <w:r/>
            <w:r>
              <w:rPr>
                <w:rFonts w:ascii="Times New Roman" w:hAnsi="Times New Roman"/>
                <w:sz w:val="17"/>
              </w:rPr>
              <w:t>Illustrative Application</w:t>
            </w:r>
          </w:p>
        </w:tc>
      </w:tr>
      <w:tr>
        <w:tc>
          <w:tcPr>
            <w:tcW w:type="dxa" w:w="2160"/>
          </w:tcPr>
          <w:p>
            <w:r/>
            <w:r>
              <w:rPr>
                <w:rFonts w:ascii="Times New Roman" w:hAnsi="Times New Roman"/>
                <w:sz w:val="17"/>
              </w:rPr>
              <w:t>7</w:t>
            </w:r>
          </w:p>
        </w:tc>
        <w:tc>
          <w:tcPr>
            <w:tcW w:type="dxa" w:w="2160"/>
          </w:tcPr>
          <w:p>
            <w:r/>
            <w:r>
              <w:rPr>
                <w:rFonts w:ascii="Times New Roman" w:hAnsi="Times New Roman"/>
                <w:sz w:val="17"/>
              </w:rPr>
              <w:t>Variables</w:t>
            </w:r>
          </w:p>
        </w:tc>
        <w:tc>
          <w:tcPr>
            <w:tcW w:type="dxa" w:w="2160"/>
          </w:tcPr>
          <w:p>
            <w:r/>
            <w:r>
              <w:rPr>
                <w:rFonts w:ascii="Times New Roman" w:hAnsi="Times New Roman"/>
                <w:sz w:val="17"/>
              </w:rPr>
              <w:t>Treatment: randomized aspirin allocation; outcome: 14-day death; 25 baseline covariates.</w:t>
            </w:r>
          </w:p>
        </w:tc>
        <w:tc>
          <w:tcPr>
            <w:tcW w:type="dxa" w:w="2160"/>
          </w:tcPr>
          <w:p>
            <w:r/>
            <w:r>
              <w:rPr>
                <w:rFonts w:ascii="Times New Roman" w:hAnsi="Times New Roman"/>
                <w:sz w:val="17"/>
              </w:rPr>
              <w:t>Illustrative Application</w:t>
            </w:r>
          </w:p>
        </w:tc>
      </w:tr>
      <w:tr>
        <w:tc>
          <w:tcPr>
            <w:tcW w:type="dxa" w:w="2160"/>
          </w:tcPr>
          <w:p>
            <w:r/>
            <w:r>
              <w:rPr>
                <w:rFonts w:ascii="Times New Roman" w:hAnsi="Times New Roman"/>
                <w:sz w:val="17"/>
              </w:rPr>
              <w:t>8</w:t>
            </w:r>
          </w:p>
        </w:tc>
        <w:tc>
          <w:tcPr>
            <w:tcW w:type="dxa" w:w="2160"/>
          </w:tcPr>
          <w:p>
            <w:r/>
            <w:r>
              <w:rPr>
                <w:rFonts w:ascii="Times New Roman" w:hAnsi="Times New Roman"/>
                <w:sz w:val="17"/>
              </w:rPr>
              <w:t>Data sources/measurement</w:t>
            </w:r>
          </w:p>
        </w:tc>
        <w:tc>
          <w:tcPr>
            <w:tcW w:type="dxa" w:w="2160"/>
          </w:tcPr>
          <w:p>
            <w:r/>
            <w:r>
              <w:rPr>
                <w:rFonts w:ascii="Times New Roman" w:hAnsi="Times New Roman"/>
                <w:sz w:val="17"/>
              </w:rPr>
              <w:t>Variables as recorded in the public IST database.</w:t>
            </w:r>
          </w:p>
        </w:tc>
        <w:tc>
          <w:tcPr>
            <w:tcW w:type="dxa" w:w="2160"/>
          </w:tcPr>
          <w:p>
            <w:r/>
            <w:r>
              <w:rPr>
                <w:rFonts w:ascii="Times New Roman" w:hAnsi="Times New Roman"/>
                <w:sz w:val="17"/>
              </w:rPr>
              <w:t>Illustrative Application; Ref 12</w:t>
            </w:r>
          </w:p>
        </w:tc>
      </w:tr>
      <w:tr>
        <w:tc>
          <w:tcPr>
            <w:tcW w:type="dxa" w:w="2160"/>
          </w:tcPr>
          <w:p>
            <w:r/>
            <w:r>
              <w:rPr>
                <w:rFonts w:ascii="Times New Roman" w:hAnsi="Times New Roman"/>
                <w:sz w:val="17"/>
              </w:rPr>
              <w:t>9</w:t>
            </w:r>
          </w:p>
        </w:tc>
        <w:tc>
          <w:tcPr>
            <w:tcW w:type="dxa" w:w="2160"/>
          </w:tcPr>
          <w:p>
            <w:r/>
            <w:r>
              <w:rPr>
                <w:rFonts w:ascii="Times New Roman" w:hAnsi="Times New Roman"/>
                <w:sz w:val="17"/>
              </w:rPr>
              <w:t>Bias</w:t>
            </w:r>
          </w:p>
        </w:tc>
        <w:tc>
          <w:tcPr>
            <w:tcW w:type="dxa" w:w="2160"/>
          </w:tcPr>
          <w:p>
            <w:r/>
            <w:r>
              <w:rPr>
                <w:rFonts w:ascii="Times New Roman" w:hAnsi="Times New Roman"/>
                <w:sz w:val="17"/>
              </w:rPr>
              <w:t>Randomized treatment allocation limits confounding; stratification is exploratory (acknowledged).</w:t>
            </w:r>
          </w:p>
        </w:tc>
        <w:tc>
          <w:tcPr>
            <w:tcW w:type="dxa" w:w="2160"/>
          </w:tcPr>
          <w:p>
            <w:r/>
            <w:r>
              <w:rPr>
                <w:rFonts w:ascii="Times New Roman" w:hAnsi="Times New Roman"/>
                <w:sz w:val="17"/>
              </w:rPr>
              <w:t>Discussion</w:t>
            </w:r>
          </w:p>
        </w:tc>
      </w:tr>
      <w:tr>
        <w:tc>
          <w:tcPr>
            <w:tcW w:type="dxa" w:w="2160"/>
          </w:tcPr>
          <w:p>
            <w:r/>
            <w:r>
              <w:rPr>
                <w:rFonts w:ascii="Times New Roman" w:hAnsi="Times New Roman"/>
                <w:sz w:val="17"/>
              </w:rPr>
              <w:t>10</w:t>
            </w:r>
          </w:p>
        </w:tc>
        <w:tc>
          <w:tcPr>
            <w:tcW w:type="dxa" w:w="2160"/>
          </w:tcPr>
          <w:p>
            <w:r/>
            <w:r>
              <w:rPr>
                <w:rFonts w:ascii="Times New Roman" w:hAnsi="Times New Roman"/>
                <w:sz w:val="17"/>
              </w:rPr>
              <w:t>Study size</w:t>
            </w:r>
          </w:p>
        </w:tc>
        <w:tc>
          <w:tcPr>
            <w:tcW w:type="dxa" w:w="2160"/>
          </w:tcPr>
          <w:p>
            <w:r/>
            <w:r>
              <w:rPr>
                <w:rFonts w:ascii="Times New Roman" w:hAnsi="Times New Roman"/>
                <w:sz w:val="17"/>
              </w:rPr>
              <w:t>Whole available sample analysed; information-size projections reported.</w:t>
            </w:r>
          </w:p>
        </w:tc>
        <w:tc>
          <w:tcPr>
            <w:tcW w:type="dxa" w:w="2160"/>
          </w:tcPr>
          <w:p>
            <w:r/>
            <w:r>
              <w:rPr>
                <w:rFonts w:ascii="Times New Roman" w:hAnsi="Times New Roman"/>
                <w:sz w:val="17"/>
              </w:rPr>
              <w:t>Illustrative Application; Table 3</w:t>
            </w:r>
          </w:p>
        </w:tc>
      </w:tr>
      <w:tr>
        <w:tc>
          <w:tcPr>
            <w:tcW w:type="dxa" w:w="2160"/>
          </w:tcPr>
          <w:p>
            <w:r/>
            <w:r>
              <w:rPr>
                <w:rFonts w:ascii="Times New Roman" w:hAnsi="Times New Roman"/>
                <w:sz w:val="17"/>
              </w:rPr>
              <w:t>11</w:t>
            </w:r>
          </w:p>
        </w:tc>
        <w:tc>
          <w:tcPr>
            <w:tcW w:type="dxa" w:w="2160"/>
          </w:tcPr>
          <w:p>
            <w:r/>
            <w:r>
              <w:rPr>
                <w:rFonts w:ascii="Times New Roman" w:hAnsi="Times New Roman"/>
                <w:sz w:val="17"/>
              </w:rPr>
              <w:t>Quantitative variables</w:t>
            </w:r>
          </w:p>
        </w:tc>
        <w:tc>
          <w:tcPr>
            <w:tcW w:type="dxa" w:w="2160"/>
          </w:tcPr>
          <w:p>
            <w:r/>
            <w:r>
              <w:rPr>
                <w:rFonts w:ascii="Times New Roman" w:hAnsi="Times New Roman"/>
                <w:sz w:val="17"/>
              </w:rPr>
              <w:t>Latent risk strata defined by predicted outcome probability (four groups).</w:t>
            </w:r>
          </w:p>
        </w:tc>
        <w:tc>
          <w:tcPr>
            <w:tcW w:type="dxa" w:w="2160"/>
          </w:tcPr>
          <w:p>
            <w:r/>
            <w:r>
              <w:rPr>
                <w:rFonts w:ascii="Times New Roman" w:hAnsi="Times New Roman"/>
                <w:sz w:val="17"/>
              </w:rPr>
              <w:t>Illustrative Application</w:t>
            </w:r>
          </w:p>
        </w:tc>
      </w:tr>
      <w:tr>
        <w:tc>
          <w:tcPr>
            <w:tcW w:type="dxa" w:w="2160"/>
          </w:tcPr>
          <w:p>
            <w:r/>
            <w:r>
              <w:rPr>
                <w:rFonts w:ascii="Times New Roman" w:hAnsi="Times New Roman"/>
                <w:sz w:val="17"/>
              </w:rPr>
              <w:t>12</w:t>
            </w:r>
          </w:p>
        </w:tc>
        <w:tc>
          <w:tcPr>
            <w:tcW w:type="dxa" w:w="2160"/>
          </w:tcPr>
          <w:p>
            <w:r/>
            <w:r>
              <w:rPr>
                <w:rFonts w:ascii="Times New Roman" w:hAnsi="Times New Roman"/>
                <w:sz w:val="17"/>
              </w:rPr>
              <w:t>Statistical methods</w:t>
            </w:r>
          </w:p>
        </w:tc>
        <w:tc>
          <w:tcPr>
            <w:tcW w:type="dxa" w:w="2160"/>
          </w:tcPr>
          <w:p>
            <w:r/>
            <w:r>
              <w:rPr>
                <w:rFonts w:ascii="Times New Roman" w:hAnsi="Times New Roman"/>
                <w:sz w:val="17"/>
              </w:rPr>
              <w:t>IONE stratification; PCA-based ICR; random-effects and ICR-weighted pooling; counterfactual power; OIS/TSA; Bayesian power-prior integration.</w:t>
            </w:r>
          </w:p>
        </w:tc>
        <w:tc>
          <w:tcPr>
            <w:tcW w:type="dxa" w:w="2160"/>
          </w:tcPr>
          <w:p>
            <w:r/>
            <w:r>
              <w:rPr>
                <w:rFonts w:ascii="Times New Roman" w:hAnsi="Times New Roman"/>
                <w:sz w:val="17"/>
              </w:rPr>
              <w:t>Component Methods; Illustrative Application</w:t>
            </w:r>
          </w:p>
        </w:tc>
      </w:tr>
      <w:tr>
        <w:tc>
          <w:tcPr>
            <w:tcW w:type="dxa" w:w="2160"/>
          </w:tcPr>
          <w:p>
            <w:r/>
            <w:r>
              <w:rPr>
                <w:rFonts w:ascii="Times New Roman" w:hAnsi="Times New Roman"/>
                <w:sz w:val="17"/>
              </w:rPr>
              <w:t>13</w:t>
            </w:r>
          </w:p>
        </w:tc>
        <w:tc>
          <w:tcPr>
            <w:tcW w:type="dxa" w:w="2160"/>
          </w:tcPr>
          <w:p>
            <w:r/>
            <w:r>
              <w:rPr>
                <w:rFonts w:ascii="Times New Roman" w:hAnsi="Times New Roman"/>
                <w:sz w:val="17"/>
              </w:rPr>
              <w:t>Participants (results)</w:t>
            </w:r>
          </w:p>
        </w:tc>
        <w:tc>
          <w:tcPr>
            <w:tcW w:type="dxa" w:w="2160"/>
          </w:tcPr>
          <w:p>
            <w:r/>
            <w:r>
              <w:rPr>
                <w:rFonts w:ascii="Times New Roman" w:hAnsi="Times New Roman"/>
                <w:sz w:val="17"/>
              </w:rPr>
              <w:t>Sample and strata sizes reported.</w:t>
            </w:r>
          </w:p>
        </w:tc>
        <w:tc>
          <w:tcPr>
            <w:tcW w:type="dxa" w:w="2160"/>
          </w:tcPr>
          <w:p>
            <w:r/>
            <w:r>
              <w:rPr>
                <w:rFonts w:ascii="Times New Roman" w:hAnsi="Times New Roman"/>
                <w:sz w:val="17"/>
              </w:rPr>
              <w:t>Table 3</w:t>
            </w:r>
          </w:p>
        </w:tc>
      </w:tr>
      <w:tr>
        <w:tc>
          <w:tcPr>
            <w:tcW w:type="dxa" w:w="2160"/>
          </w:tcPr>
          <w:p>
            <w:r/>
            <w:r>
              <w:rPr>
                <w:rFonts w:ascii="Times New Roman" w:hAnsi="Times New Roman"/>
                <w:sz w:val="17"/>
              </w:rPr>
              <w:t>14</w:t>
            </w:r>
          </w:p>
        </w:tc>
        <w:tc>
          <w:tcPr>
            <w:tcW w:type="dxa" w:w="2160"/>
          </w:tcPr>
          <w:p>
            <w:r/>
            <w:r>
              <w:rPr>
                <w:rFonts w:ascii="Times New Roman" w:hAnsi="Times New Roman"/>
                <w:sz w:val="17"/>
              </w:rPr>
              <w:t>Descriptive data</w:t>
            </w:r>
          </w:p>
        </w:tc>
        <w:tc>
          <w:tcPr>
            <w:tcW w:type="dxa" w:w="2160"/>
          </w:tcPr>
          <w:p>
            <w:r/>
            <w:r>
              <w:rPr>
                <w:rFonts w:ascii="Times New Roman" w:hAnsi="Times New Roman"/>
                <w:sz w:val="17"/>
              </w:rPr>
              <w:t>Event rates by stratum reported.</w:t>
            </w:r>
          </w:p>
        </w:tc>
        <w:tc>
          <w:tcPr>
            <w:tcW w:type="dxa" w:w="2160"/>
          </w:tcPr>
          <w:p>
            <w:r/>
            <w:r>
              <w:rPr>
                <w:rFonts w:ascii="Times New Roman" w:hAnsi="Times New Roman"/>
                <w:sz w:val="17"/>
              </w:rPr>
              <w:t>Illustrative Application; Table 3</w:t>
            </w:r>
          </w:p>
        </w:tc>
      </w:tr>
      <w:tr>
        <w:tc>
          <w:tcPr>
            <w:tcW w:type="dxa" w:w="2160"/>
          </w:tcPr>
          <w:p>
            <w:r/>
            <w:r>
              <w:rPr>
                <w:rFonts w:ascii="Times New Roman" w:hAnsi="Times New Roman"/>
                <w:sz w:val="17"/>
              </w:rPr>
              <w:t>15</w:t>
            </w:r>
          </w:p>
        </w:tc>
        <w:tc>
          <w:tcPr>
            <w:tcW w:type="dxa" w:w="2160"/>
          </w:tcPr>
          <w:p>
            <w:r/>
            <w:r>
              <w:rPr>
                <w:rFonts w:ascii="Times New Roman" w:hAnsi="Times New Roman"/>
                <w:sz w:val="17"/>
              </w:rPr>
              <w:t>Outcome data</w:t>
            </w:r>
          </w:p>
        </w:tc>
        <w:tc>
          <w:tcPr>
            <w:tcW w:type="dxa" w:w="2160"/>
          </w:tcPr>
          <w:p>
            <w:r/>
            <w:r>
              <w:rPr>
                <w:rFonts w:ascii="Times New Roman" w:hAnsi="Times New Roman"/>
                <w:sz w:val="17"/>
              </w:rPr>
              <w:t>14-day deaths and odds ratios reported.</w:t>
            </w:r>
          </w:p>
        </w:tc>
        <w:tc>
          <w:tcPr>
            <w:tcW w:type="dxa" w:w="2160"/>
          </w:tcPr>
          <w:p>
            <w:r/>
            <w:r>
              <w:rPr>
                <w:rFonts w:ascii="Times New Roman" w:hAnsi="Times New Roman"/>
                <w:sz w:val="17"/>
              </w:rPr>
              <w:t>Illustrative Application; Table 3; Figures 3–6</w:t>
            </w:r>
          </w:p>
        </w:tc>
      </w:tr>
      <w:tr>
        <w:tc>
          <w:tcPr>
            <w:tcW w:type="dxa" w:w="2160"/>
          </w:tcPr>
          <w:p>
            <w:r/>
            <w:r>
              <w:rPr>
                <w:rFonts w:ascii="Times New Roman" w:hAnsi="Times New Roman"/>
                <w:sz w:val="17"/>
              </w:rPr>
              <w:t>16</w:t>
            </w:r>
          </w:p>
        </w:tc>
        <w:tc>
          <w:tcPr>
            <w:tcW w:type="dxa" w:w="2160"/>
          </w:tcPr>
          <w:p>
            <w:r/>
            <w:r>
              <w:rPr>
                <w:rFonts w:ascii="Times New Roman" w:hAnsi="Times New Roman"/>
                <w:sz w:val="17"/>
              </w:rPr>
              <w:t>Main results</w:t>
            </w:r>
          </w:p>
        </w:tc>
        <w:tc>
          <w:tcPr>
            <w:tcW w:type="dxa" w:w="2160"/>
          </w:tcPr>
          <w:p>
            <w:r/>
            <w:r>
              <w:rPr>
                <w:rFonts w:ascii="Times New Roman" w:hAnsi="Times New Roman"/>
                <w:sz w:val="17"/>
              </w:rPr>
              <w:t>Odds ratios with 95% CIs; ICR; power; information fraction; additional evidence required.</w:t>
            </w:r>
          </w:p>
        </w:tc>
        <w:tc>
          <w:tcPr>
            <w:tcW w:type="dxa" w:w="2160"/>
          </w:tcPr>
          <w:p>
            <w:r/>
            <w:r>
              <w:rPr>
                <w:rFonts w:ascii="Times New Roman" w:hAnsi="Times New Roman"/>
                <w:sz w:val="17"/>
              </w:rPr>
              <w:t>Illustrative Application; Table 3; Figures 3–6</w:t>
            </w:r>
          </w:p>
        </w:tc>
      </w:tr>
      <w:tr>
        <w:tc>
          <w:tcPr>
            <w:tcW w:type="dxa" w:w="2160"/>
          </w:tcPr>
          <w:p>
            <w:r/>
            <w:r>
              <w:rPr>
                <w:rFonts w:ascii="Times New Roman" w:hAnsi="Times New Roman"/>
                <w:sz w:val="17"/>
              </w:rPr>
              <w:t>17</w:t>
            </w:r>
          </w:p>
        </w:tc>
        <w:tc>
          <w:tcPr>
            <w:tcW w:type="dxa" w:w="2160"/>
          </w:tcPr>
          <w:p>
            <w:r/>
            <w:r>
              <w:rPr>
                <w:rFonts w:ascii="Times New Roman" w:hAnsi="Times New Roman"/>
                <w:sz w:val="17"/>
              </w:rPr>
              <w:t>Other analyses</w:t>
            </w:r>
          </w:p>
        </w:tc>
        <w:tc>
          <w:tcPr>
            <w:tcW w:type="dxa" w:w="2160"/>
          </w:tcPr>
          <w:p>
            <w:r/>
            <w:r>
              <w:rPr>
                <w:rFonts w:ascii="Times New Roman" w:hAnsi="Times New Roman"/>
                <w:sz w:val="17"/>
              </w:rPr>
              <w:t>Between-country pooling; sensitivity to weighting scheme.</w:t>
            </w:r>
          </w:p>
        </w:tc>
        <w:tc>
          <w:tcPr>
            <w:tcW w:type="dxa" w:w="2160"/>
          </w:tcPr>
          <w:p>
            <w:r/>
            <w:r>
              <w:rPr>
                <w:rFonts w:ascii="Times New Roman" w:hAnsi="Times New Roman"/>
                <w:sz w:val="17"/>
              </w:rPr>
              <w:t>Illustrative Application; Figure 4</w:t>
            </w:r>
          </w:p>
        </w:tc>
      </w:tr>
      <w:tr>
        <w:tc>
          <w:tcPr>
            <w:tcW w:type="dxa" w:w="2160"/>
          </w:tcPr>
          <w:p>
            <w:r/>
            <w:r>
              <w:rPr>
                <w:rFonts w:ascii="Times New Roman" w:hAnsi="Times New Roman"/>
                <w:sz w:val="17"/>
              </w:rPr>
              <w:t>18</w:t>
            </w:r>
          </w:p>
        </w:tc>
        <w:tc>
          <w:tcPr>
            <w:tcW w:type="dxa" w:w="2160"/>
          </w:tcPr>
          <w:p>
            <w:r/>
            <w:r>
              <w:rPr>
                <w:rFonts w:ascii="Times New Roman" w:hAnsi="Times New Roman"/>
                <w:sz w:val="17"/>
              </w:rPr>
              <w:t>Key results</w:t>
            </w:r>
          </w:p>
        </w:tc>
        <w:tc>
          <w:tcPr>
            <w:tcW w:type="dxa" w:w="2160"/>
          </w:tcPr>
          <w:p>
            <w:r/>
            <w:r>
              <w:rPr>
                <w:rFonts w:ascii="Times New Roman" w:hAnsi="Times New Roman"/>
                <w:sz w:val="17"/>
              </w:rPr>
              <w:t>Coherent effect but information-limited evidence.</w:t>
            </w:r>
          </w:p>
        </w:tc>
        <w:tc>
          <w:tcPr>
            <w:tcW w:type="dxa" w:w="2160"/>
          </w:tcPr>
          <w:p>
            <w:r/>
            <w:r>
              <w:rPr>
                <w:rFonts w:ascii="Times New Roman" w:hAnsi="Times New Roman"/>
                <w:sz w:val="17"/>
              </w:rPr>
              <w:t>Illustrative Application; Discussion</w:t>
            </w:r>
          </w:p>
        </w:tc>
      </w:tr>
      <w:tr>
        <w:tc>
          <w:tcPr>
            <w:tcW w:type="dxa" w:w="2160"/>
          </w:tcPr>
          <w:p>
            <w:r/>
            <w:r>
              <w:rPr>
                <w:rFonts w:ascii="Times New Roman" w:hAnsi="Times New Roman"/>
                <w:sz w:val="17"/>
              </w:rPr>
              <w:t>19</w:t>
            </w:r>
          </w:p>
        </w:tc>
        <w:tc>
          <w:tcPr>
            <w:tcW w:type="dxa" w:w="2160"/>
          </w:tcPr>
          <w:p>
            <w:r/>
            <w:r>
              <w:rPr>
                <w:rFonts w:ascii="Times New Roman" w:hAnsi="Times New Roman"/>
                <w:sz w:val="17"/>
              </w:rPr>
              <w:t>Limitations</w:t>
            </w:r>
          </w:p>
        </w:tc>
        <w:tc>
          <w:tcPr>
            <w:tcW w:type="dxa" w:w="2160"/>
          </w:tcPr>
          <w:p>
            <w:r/>
            <w:r>
              <w:rPr>
                <w:rFonts w:ascii="Times New Roman" w:hAnsi="Times New Roman"/>
                <w:sz w:val="17"/>
              </w:rPr>
              <w:t>Exploratory stratification; IPD dependence; prior sensitivity; single illustrative case.</w:t>
            </w:r>
          </w:p>
        </w:tc>
        <w:tc>
          <w:tcPr>
            <w:tcW w:type="dxa" w:w="2160"/>
          </w:tcPr>
          <w:p>
            <w:r/>
            <w:r>
              <w:rPr>
                <w:rFonts w:ascii="Times New Roman" w:hAnsi="Times New Roman"/>
                <w:sz w:val="17"/>
              </w:rPr>
              <w:t>Discussion</w:t>
            </w:r>
          </w:p>
        </w:tc>
      </w:tr>
      <w:tr>
        <w:tc>
          <w:tcPr>
            <w:tcW w:type="dxa" w:w="2160"/>
          </w:tcPr>
          <w:p>
            <w:r/>
            <w:r>
              <w:rPr>
                <w:rFonts w:ascii="Times New Roman" w:hAnsi="Times New Roman"/>
                <w:sz w:val="17"/>
              </w:rPr>
              <w:t>20</w:t>
            </w:r>
          </w:p>
        </w:tc>
        <w:tc>
          <w:tcPr>
            <w:tcW w:type="dxa" w:w="2160"/>
          </w:tcPr>
          <w:p>
            <w:r/>
            <w:r>
              <w:rPr>
                <w:rFonts w:ascii="Times New Roman" w:hAnsi="Times New Roman"/>
                <w:sz w:val="17"/>
              </w:rPr>
              <w:t>Interpretation</w:t>
            </w:r>
          </w:p>
        </w:tc>
        <w:tc>
          <w:tcPr>
            <w:tcW w:type="dxa" w:w="2160"/>
          </w:tcPr>
          <w:p>
            <w:r/>
            <w:r>
              <w:rPr>
                <w:rFonts w:ascii="Times New Roman" w:hAnsi="Times New Roman"/>
                <w:sz w:val="17"/>
              </w:rPr>
              <w:t>Reframes an inconclusive trial as interim; quantifies evidence needed.</w:t>
            </w:r>
          </w:p>
        </w:tc>
        <w:tc>
          <w:tcPr>
            <w:tcW w:type="dxa" w:w="2160"/>
          </w:tcPr>
          <w:p>
            <w:r/>
            <w:r>
              <w:rPr>
                <w:rFonts w:ascii="Times New Roman" w:hAnsi="Times New Roman"/>
                <w:sz w:val="17"/>
              </w:rPr>
              <w:t>Discussion</w:t>
            </w:r>
          </w:p>
        </w:tc>
      </w:tr>
      <w:tr>
        <w:tc>
          <w:tcPr>
            <w:tcW w:type="dxa" w:w="2160"/>
          </w:tcPr>
          <w:p>
            <w:r/>
            <w:r>
              <w:rPr>
                <w:rFonts w:ascii="Times New Roman" w:hAnsi="Times New Roman"/>
                <w:sz w:val="17"/>
              </w:rPr>
              <w:t>21</w:t>
            </w:r>
          </w:p>
        </w:tc>
        <w:tc>
          <w:tcPr>
            <w:tcW w:type="dxa" w:w="2160"/>
          </w:tcPr>
          <w:p>
            <w:r/>
            <w:r>
              <w:rPr>
                <w:rFonts w:ascii="Times New Roman" w:hAnsi="Times New Roman"/>
                <w:sz w:val="17"/>
              </w:rPr>
              <w:t>Generalisability</w:t>
            </w:r>
          </w:p>
        </w:tc>
        <w:tc>
          <w:tcPr>
            <w:tcW w:type="dxa" w:w="2160"/>
          </w:tcPr>
          <w:p>
            <w:r/>
            <w:r>
              <w:rPr>
                <w:rFonts w:ascii="Times New Roman" w:hAnsi="Times New Roman"/>
                <w:sz w:val="17"/>
              </w:rPr>
              <w:t>Framework general; example specific to the IST setting.</w:t>
            </w:r>
          </w:p>
        </w:tc>
        <w:tc>
          <w:tcPr>
            <w:tcW w:type="dxa" w:w="2160"/>
          </w:tcPr>
          <w:p>
            <w:r/>
            <w:r>
              <w:rPr>
                <w:rFonts w:ascii="Times New Roman" w:hAnsi="Times New Roman"/>
                <w:sz w:val="17"/>
              </w:rPr>
              <w:t>Discussion</w:t>
            </w:r>
          </w:p>
        </w:tc>
      </w:tr>
      <w:tr>
        <w:tc>
          <w:tcPr>
            <w:tcW w:type="dxa" w:w="2160"/>
          </w:tcPr>
          <w:p>
            <w:r/>
            <w:r>
              <w:rPr>
                <w:rFonts w:ascii="Times New Roman" w:hAnsi="Times New Roman"/>
                <w:sz w:val="17"/>
              </w:rPr>
              <w:t>22</w:t>
            </w:r>
          </w:p>
        </w:tc>
        <w:tc>
          <w:tcPr>
            <w:tcW w:type="dxa" w:w="2160"/>
          </w:tcPr>
          <w:p>
            <w:r/>
            <w:r>
              <w:rPr>
                <w:rFonts w:ascii="Times New Roman" w:hAnsi="Times New Roman"/>
                <w:sz w:val="17"/>
              </w:rPr>
              <w:t>Funding</w:t>
            </w:r>
          </w:p>
        </w:tc>
        <w:tc>
          <w:tcPr>
            <w:tcW w:type="dxa" w:w="2160"/>
          </w:tcPr>
          <w:p>
            <w:r/>
            <w:r>
              <w:rPr>
                <w:rFonts w:ascii="Times New Roman" w:hAnsi="Times New Roman"/>
                <w:sz w:val="17"/>
              </w:rPr>
              <w:t>Stated on the title page.</w:t>
            </w:r>
          </w:p>
        </w:tc>
        <w:tc>
          <w:tcPr>
            <w:tcW w:type="dxa" w:w="2160"/>
          </w:tcPr>
          <w:p>
            <w:r/>
            <w:r>
              <w:rPr>
                <w:rFonts w:ascii="Times New Roman" w:hAnsi="Times New Roman"/>
                <w:sz w:val="17"/>
              </w:rPr>
              <w:t>Title page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