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Evidence synthesis can fail at three distinct levels that require different diagnostics.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ONISHI pairs each level with one method and chains them into a single pipeline.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Methods hand off subgroup labels, information weights, and power sizing on shared data.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 worked example uses public data from the International Stroke Trial (18,451 patients).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The example trial is coherent across risk strata but information-limited, not null.</w:t>
      </w:r>
    </w:p>
    <w:p/>
    <w:p>
      <w:r>
        <w:rPr>
          <w:rFonts w:ascii="Times New Roman" w:hAnsi="Times New Roman"/>
          <w:b/>
          <w:sz w:val="28"/>
        </w:rPr>
        <w:t>Keywords</w:t>
      </w:r>
    </w:p>
    <w:p>
      <w:r>
        <w:rPr>
          <w:rFonts w:ascii="Times New Roman" w:hAnsi="Times New Roman"/>
          <w:b w:val="0"/>
          <w:i w:val="0"/>
          <w:sz w:val="22"/>
        </w:rPr>
        <w:t>evidence synthesis; meta-analysis; heterogeneity; effect modification; individual patient data; optimal information size; Bayesian methods; research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