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ONISHI — Tables (editable)</w:t>
      </w:r>
    </w:p>
    <w:p>
      <w:pPr>
        <w:spacing w:before="240" w:after="80"/>
      </w:pPr>
      <w:r>
        <w:rPr>
          <w:rFonts w:ascii="Times New Roman" w:hAnsi="Times New Roman"/>
          <w:b/>
          <w:sz w:val="20"/>
        </w:rPr>
        <w:t>Table 1. The three component methods of the ONISHI framework.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E1F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Method</w:t>
            </w:r>
          </w:p>
        </w:tc>
        <w:tc>
          <w:tcPr>
            <w:tcW w:type="dxa" w:w="1440"/>
            <w:shd w:val="clear" w:fill="D9E1F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Target level</w:t>
            </w:r>
          </w:p>
        </w:tc>
        <w:tc>
          <w:tcPr>
            <w:tcW w:type="dxa" w:w="1440"/>
            <w:shd w:val="clear" w:fill="D9E1F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Core metric</w:t>
            </w:r>
          </w:p>
        </w:tc>
        <w:tc>
          <w:tcPr>
            <w:tcW w:type="dxa" w:w="1440"/>
            <w:shd w:val="clear" w:fill="D9E1F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Primary input</w:t>
            </w:r>
          </w:p>
        </w:tc>
        <w:tc>
          <w:tcPr>
            <w:tcW w:type="dxa" w:w="1440"/>
            <w:shd w:val="clear" w:fill="D9E1F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What it verifies</w:t>
            </w:r>
          </w:p>
        </w:tc>
        <w:tc>
          <w:tcPr>
            <w:tcW w:type="dxa" w:w="1440"/>
            <w:shd w:val="clear" w:fill="D9E1F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Ref.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LINKO</w:t>
              <w:br/>
              <w:t>(Latent Information Normalization for Key Outcomes)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Between studies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Information contribution ratio (ICR)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Published RCT summaries or IPD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Which studies/endpoints carry the informative signal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IONE</w:t>
              <w:br/>
              <w:t>(Incoherence-Oriented Neutralisation and Extraction)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Within studies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Incoherence indicator C1 (= 1 − I²); within-stratum homogeneity W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IPD or observational cohort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Whether a population hides coherent subgroups (effect modification)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KOTHA</w:t>
              <w:br/>
              <w:t>(Knowledge-driven Observational-Trial Harmonisation Approach)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Between study types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Counterfactual power; harmonized estimate; OIS/TSA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RCT + observational effect estimates; IPD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How to harmonize randomized and observational evidence; “no effect” vs “no information”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</w:tr>
    </w:tbl>
    <w:p>
      <w:pPr>
        <w:spacing w:before="60"/>
      </w:pPr>
      <w:r>
        <w:rPr>
          <w:rFonts w:ascii="Times New Roman" w:hAnsi="Times New Roman"/>
          <w:i/>
          <w:sz w:val="16"/>
        </w:rPr>
        <w:t>ICR, information contribution ratio; IPD, individual patient data; OIS, optimal information size; TSA, trial sequential analysis; I², heterogeneity statistic; C1, incoherence indicator (one minus I²); W, within-stratum homogeneity.</w:t>
      </w:r>
    </w:p>
    <w:p/>
    <w:p>
      <w:pPr>
        <w:spacing w:before="240" w:after="80"/>
      </w:pPr>
      <w:r>
        <w:rPr>
          <w:rFonts w:ascii="Times New Roman" w:hAnsi="Times New Roman"/>
          <w:b/>
          <w:sz w:val="20"/>
        </w:rPr>
        <w:t>Table 2. Hand-off interfaces in the integrated ONISHI pipeline.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1F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Interface</w:t>
            </w:r>
          </w:p>
        </w:tc>
        <w:tc>
          <w:tcPr>
            <w:tcW w:type="dxa" w:w="2160"/>
            <w:shd w:val="clear" w:fill="D9E1F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Upstream output</w:t>
            </w:r>
          </w:p>
        </w:tc>
        <w:tc>
          <w:tcPr>
            <w:tcW w:type="dxa" w:w="2160"/>
            <w:shd w:val="clear" w:fill="D9E1F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Downstream input</w:t>
            </w:r>
          </w:p>
        </w:tc>
        <w:tc>
          <w:tcPr>
            <w:tcW w:type="dxa" w:w="2160"/>
            <w:shd w:val="clear" w:fill="D9E1F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Transformation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IONE → LINKO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Coherent subgroup labels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Subgroup partition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Recompute the ICR within each subgroup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IONE → KOTHA (Module K)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Subgroup risk profiles; C1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Counterfactual power inputs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Risk profiles parameterize per-stratum power simulation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LINKO → KOTHA (Module T)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Per-study / per-subgroup ICR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Bayesian prior weight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ICR scales the information borrowed in hierarchical integration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LINKO, IONE → KOTHA (Module H)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ICR; C1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Reporting items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Reported alongside OIS and TSA in the GRADE-linked read-out</w:t>
            </w:r>
          </w:p>
        </w:tc>
      </w:tr>
    </w:tbl>
    <w:p>
      <w:pPr>
        <w:spacing w:before="60"/>
      </w:pPr>
      <w:r>
        <w:rPr>
          <w:rFonts w:ascii="Times New Roman" w:hAnsi="Times New Roman"/>
          <w:i/>
          <w:sz w:val="16"/>
        </w:rPr>
        <w:t>ICR, information contribution ratio; C1, incoherence indicator; OIS, optimal information size; TSA, trial sequential analysis; GRADE, Grading of Recommendations Assessment, Development and Evaluation.</w:t>
      </w:r>
    </w:p>
    <w:p/>
    <w:p>
      <w:pPr>
        <w:spacing w:before="240" w:after="80"/>
      </w:pPr>
      <w:r>
        <w:rPr>
          <w:rFonts w:ascii="Times New Roman" w:hAnsi="Times New Roman"/>
          <w:b/>
          <w:sz w:val="20"/>
        </w:rPr>
        <w:t>Table 3. Stratum-wise outputs of the ONISHI pipeline applied to the International Stroke Trial.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D9E1F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Stratum</w:t>
            </w:r>
          </w:p>
        </w:tc>
        <w:tc>
          <w:tcPr>
            <w:tcW w:type="dxa" w:w="1234"/>
            <w:shd w:val="clear" w:fill="D9E1F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234"/>
            <w:shd w:val="clear" w:fill="D9E1F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14-day mortality</w:t>
            </w:r>
          </w:p>
        </w:tc>
        <w:tc>
          <w:tcPr>
            <w:tcW w:type="dxa" w:w="1234"/>
            <w:shd w:val="clear" w:fill="D9E1F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Aspirin OR (95% CI)</w:t>
            </w:r>
          </w:p>
        </w:tc>
        <w:tc>
          <w:tcPr>
            <w:tcW w:type="dxa" w:w="1234"/>
            <w:shd w:val="clear" w:fill="D9E1F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ICR (PCA)</w:t>
            </w:r>
          </w:p>
        </w:tc>
        <w:tc>
          <w:tcPr>
            <w:tcW w:type="dxa" w:w="1234"/>
            <w:shd w:val="clear" w:fill="D9E1F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Power at pooled OR</w:t>
            </w:r>
          </w:p>
        </w:tc>
        <w:tc>
          <w:tcPr>
            <w:tcW w:type="dxa" w:w="1234"/>
            <w:shd w:val="clear" w:fill="D9E1F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Additional patients to OIS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4,613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4.4%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0.94 (0.71–1.25)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2.3×10⁻⁵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14%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83,734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4,612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11.5%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0.84 (0.70–1.01)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3.2×10⁻⁵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30%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32,320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4,613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23.3%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0.97 (0.85–1.11)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1.8×10⁻⁴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53%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15,968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4,613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50.9%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0.95 (0.85–1.06)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7.4×10⁻⁴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86%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7,311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Overall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18,451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22.5%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0.94 (0.88–1.01)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53% info. fraction</w:t>
            </w:r>
          </w:p>
        </w:tc>
        <w:tc>
          <w:tcPr>
            <w:tcW w:type="dxa" w:w="1234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18"/>
              </w:rPr>
              <w:t>16,508</w:t>
            </w:r>
          </w:p>
        </w:tc>
      </w:tr>
    </w:tbl>
    <w:p>
      <w:pPr>
        <w:spacing w:before="60"/>
      </w:pPr>
      <w:r>
        <w:rPr>
          <w:rFonts w:ascii="Times New Roman" w:hAnsi="Times New Roman"/>
          <w:i/>
          <w:sz w:val="16"/>
        </w:rPr>
        <w:t>Strata are latent risk groups defined by predicted outcome probability. Odds ratios are for randomized aspirin allocation on 14-day death; confidence intervals are computed on the log-odds scale. The ICR is the principal-component-analysis-based estimate. Power is computed at the trial-wide pooled odds ratio. “Additional patients to OIS” is the number of further patients, at each stratum's event rate, projected to reach the optimal information size; it is a design heuristic, not a formal sample-size calculation. CI, confidence interval; ICR, information contribution ratio; OIS, optimal information size.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