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i w:val="0"/>
          <w:sz w:val="24"/>
        </w:rPr>
        <w:t>Dear Editors,</w:t>
      </w:r>
    </w:p>
    <w:p>
      <w:r>
        <w:rPr>
          <w:rFonts w:ascii="Times New Roman" w:hAnsi="Times New Roman" w:cs="Times New Roman"/>
          <w:i w:val="0"/>
          <w:sz w:val="24"/>
        </w:rPr>
        <w:t xml:space="preserve">I submit "When Authentication Technologies Expire: Technology-Dependent Institutional Transitions in a Physical-Provenance Currency" for </w:t>
      </w:r>
      <w:r>
        <w:rPr>
          <w:rFonts w:ascii="Times New Roman" w:hAnsi="Times New Roman" w:cs="Times New Roman"/>
          <w:i/>
          <w:sz w:val="24"/>
        </w:rPr>
        <w:t>Technological Forecasting and Social Change</w:t>
      </w:r>
      <w:r>
        <w:rPr>
          <w:rFonts w:ascii="Times New Roman" w:hAnsi="Times New Roman" w:cs="Times New Roman"/>
          <w:i w:val="0"/>
          <w:sz w:val="24"/>
        </w:rPr>
        <w:t>. Institutions that rely on costly physical imitation — banknote printing, provenance certification, tamper evidence — face a moving technological target: an authentication architecture that is credible today may become economically obsolete as assay and fabrication technologies improve. The existing literature largely asks how secure a given institution is at a given technological state. This manuscript instead develops a technology-dependent institutional-transition model, asking which authentication institution remains viable as those costs move, and when an issuer should adapt, switch, or exit.</w:t>
      </w:r>
    </w:p>
    <w:p>
      <w:r>
        <w:rPr>
          <w:rFonts w:ascii="Times New Roman" w:hAnsi="Times New Roman" w:cs="Times New Roman"/>
          <w:i w:val="0"/>
          <w:sz w:val="24"/>
        </w:rPr>
        <w:t>I instantiate and calibrate the model as a Physical Chained Provenance Currency — an extreme test case in which an issuer batches an abundant substrate with a public, dated, isotopically fingerprinted mixture — using 2,612 measured iron-meteorite fingerprints, Monte-Carlo and closed-form analysis, four technology trajectories, and endogenous issuer adaptation under a switching-cost objective.</w:t>
      </w:r>
    </w:p>
    <w:p>
      <w:r>
        <w:rPr>
          <w:rFonts w:ascii="Times New Roman" w:hAnsi="Times New Roman" w:cs="Times New Roman"/>
          <w:i w:val="0"/>
          <w:sz w:val="24"/>
        </w:rPr>
        <w:t>The strongest results are structural. Under symmetric technological progress the optimal sequence is fixed → rotating → exit, and adaptive switching extends viability by 27.5% of the modeled horizon. Lineage-preserving authentication is optimal only in a narrow 2-step window — a delaying corridor, not a destination. Bulk predecessor-metal chaining adds no meaningful security once adversaries can reproduce the final bulk state: physical inheritance is not automatically institutional memory. And sufficiently cheap synthetic fabrication produces an ultimate expiration frontier near the model-specific c_syn/V ≈ 0.05. Two further findings are honest negatives: adaptation is dominated by earlier exit under attacker-favoring progress, and neither hysteresis nor path dependence arises — transitions are viability-forced.</w:t>
      </w:r>
    </w:p>
    <w:p>
      <w:r>
        <w:br w:type="page"/>
      </w:r>
      <w:r>
        <w:rPr>
          <w:rFonts w:ascii="Times New Roman" w:hAnsi="Times New Roman" w:cs="Times New Roman"/>
          <w:i w:val="0"/>
          <w:sz w:val="24"/>
        </w:rPr>
        <w:t>This belongs in TFSC because the contribution is not a speculative monetary design but a formal model of technology-driven institutional transition: viability frontiers are cost-ratio surfaces, regime changes are endogenous, and adaptation has finite benefits — a structure that applies to any institution whose credibility rests on the relative costs of authorized update, adversarial reconstruction, and verification.</w:t>
      </w:r>
    </w:p>
    <w:p>
      <w:r>
        <w:rPr>
          <w:rFonts w:ascii="Times New Roman" w:hAnsi="Times New Roman" w:cs="Times New Roman"/>
          <w:i w:val="0"/>
          <w:sz w:val="24"/>
        </w:rPr>
        <w:t>The manuscript is original and not under consideration elsewhere; all code and reproduction materials accompany the submission. During preparation I used Devin (Cognition AI) to assist with simulation-code development and drafting; I reviewed and take full responsibility for all content.</w:t>
      </w:r>
    </w:p>
    <w:p>
      <w:r>
        <w:rPr>
          <w:rFonts w:ascii="Times New Roman" w:hAnsi="Times New Roman" w:cs="Times New Roman"/>
          <w:i w:val="0"/>
          <w:sz w:val="24"/>
        </w:rPr>
        <w:t>Sincerely,</w:t>
      </w:r>
    </w:p>
    <w:p>
      <w:r>
        <w:rPr>
          <w:rFonts w:ascii="Times New Roman" w:hAnsi="Times New Roman" w:cs="Times New Roman"/>
          <w:i w:val="0"/>
          <w:sz w:val="24"/>
        </w:rPr>
        <w:t>Tatsuki Onishi</w:t>
        <w:br/>
        <w:t>Shiga University, Data Science and AI Innovation Research Promotion Center (DSAI)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