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— EPSL submission</w:t>
      </w:r>
    </w:p>
    <w:p>
      <w:r>
        <w:t>Dear Editors,</w:t>
      </w:r>
    </w:p>
    <w:p>
      <w:r>
        <w:t>We submit the enclosed Letter, 'A network framework for comparing circulation architectures across planetary bodies'. Planetary activity is normally described process by process or collapsed informally onto an active–inactive continuum; whether that continuum is adequate has never been tested on a common measurement basis.</w:t>
      </w:r>
    </w:p>
    <w:p>
      <w:r>
        <w:t>We built a frozen seven-reservoir, seven-process ontology and applied it as three separated data objects — current activity, persistence through geological history, and observational constraint — to Earth, Venus, Mars, the Moon, Mercury, Io, Europa, and Titan. The principal empirical results: comparative state retains a dominant first-order activity gradient, with ~44% of ordination variance on other axes; subsystem shutdown is asynchronous where it occurs (Mars lost its dynamo ~4 Ga before its latest volcanism while its surface–atmosphere circulation persists); and supported-process counts are uncorrelated with age or mass but organized by energy-source architecture.</w:t>
      </w:r>
    </w:p>
    <w:p>
      <w:r>
        <w:t>The result matters beyond the eight bodies: it offers comparative planetology a common, falsifiable state-space representation at a moment when exoplanet demography makes such comparisons pressing. The concise, quantitative, cross-disciplinary format is designed for EPSL's readership. All data and code are public at https://github.com/bougtoir/planetary_circulation.</w:t>
      </w:r>
    </w:p>
    <w:p>
      <w:r>
        <w:t>The manuscript is original, not under consideration elsewhere, and all authors [TO COMPLETE] approve submission. We have no competing interests to declare [VERIFY].</w:t>
      </w:r>
    </w:p>
    <w:p>
      <w:r>
        <w:t>Sincerely, [CORRESPONDING AUTHOR — TO COMPLETE]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