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Apparent Performance under Selective Environmental Risk: Strategic Acceptance and Reputation under a Zero-Effect Rainfall Null</w:t>
      </w:r>
    </w:p>
    <w:p>
      <w:r>
        <w:rPr>
          <w:b/>
        </w:rPr>
        <w:t xml:space="preserve">Article type: </w:t>
      </w:r>
      <w:r>
        <w:t>Original Research</w:t>
      </w:r>
    </w:p>
    <w:p>
      <w:r>
        <w:rPr>
          <w:b/>
        </w:rPr>
        <w:t xml:space="preserve">Author(s): </w:t>
      </w:r>
      <w:r>
        <w:t>[AUTHOR INPUT REQUIRED]</w:t>
      </w:r>
    </w:p>
    <w:p>
      <w:r>
        <w:rPr>
          <w:b/>
        </w:rPr>
        <w:t xml:space="preserve">Affiliation(s): </w:t>
      </w:r>
      <w:r>
        <w:t>[AUTHOR INPUT REQUIRED]</w:t>
      </w:r>
    </w:p>
    <w:p>
      <w:r>
        <w:rPr>
          <w:b/>
        </w:rPr>
        <w:t xml:space="preserve">Corresponding author: </w:t>
      </w:r>
      <w:r>
        <w:t>[AUTHOR INPUT REQUIRED]</w:t>
      </w:r>
    </w:p>
    <w:p>
      <w:r>
        <w:rPr>
          <w:b/>
        </w:rPr>
        <w:t xml:space="preserve">Email and postal address: </w:t>
      </w:r>
      <w:r>
        <w:t>[AUTHOR INPUT REQUIRED]</w:t>
      </w:r>
    </w:p>
    <w:p>
      <w:r>
        <w:rPr>
          <w:b/>
        </w:rPr>
        <w:t xml:space="preserve">Telephone number: </w:t>
      </w:r>
      <w:r>
        <w:t>[AUTHOR INPUT REQUIRED]</w:t>
      </w:r>
    </w:p>
    <w:p>
      <w:r>
        <w:rPr>
          <w:b/>
        </w:rPr>
        <w:t xml:space="preserve">ORCID(s): </w:t>
      </w:r>
      <w:r>
        <w:t>[AUTHOR INPUT REQUIRED, if applicable]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Times New Roman" w:hAnsi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