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Prospective Paper II study linked to the EPJ commercial-software corpus</w:t>
      </w:r>
    </w:p>
    <w:p>
      <w:r>
        <w:t>PREPARATION DRAFT — NOT SUBMISSION READY</w:t>
      </w:r>
    </w:p>
    <w:p>
      <w:r>
        <w:t>Authors, affiliations and corresponding author: NOT FINALIZED.</w:t>
      </w:r>
    </w:p>
    <w:p>
      <w:r>
        <w:t>Working journal: EPJ Research Infrastructures.</w:t>
      </w:r>
    </w:p>
    <w:p>
      <w:pPr>
        <w:pStyle w:val="Heading1"/>
      </w:pPr>
      <w:r>
        <w:t>Preparation abstract</w:t>
      </w:r>
    </w:p>
    <w:p>
      <w:r>
        <w:t>Access to research artifacts does not establish whether the published scientific description supports an independent implementation. This prospective study will estimate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author approved the unique-PMID frame while preserving every deposited row. Existing variables remain historical text detections rather than validated access assessments. The proposed design separates eligibility, input and resource access, specification, implementation, execution, numerical agreement and target-linked conclusion preservation. Three fixed independent run slots per sampled paper will support majority, strict and permissive outcome definitions while retaining missing or contaminated slots as unresolved. Targets, tolerances and resource ceilings must be frozen prospectively. This document contains only preparation findings and proposed methods. No pilot, reconstruction experiment, human validation or descriptive original-code reveal has been completed. No reconstructability rate or empirical conclusion is available. A qualified information firewall, verified study inputs and real validation remain necessary before this work can support a completed-study submission.</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proposed contribution is a finite-corpus estimation study with an explicit publication-only information boundary and zero study-specific software expenditure. It makes no first-study or terminological novelty claim. Figure 1 shows the proposed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Paper II focuses on RECONSTRUCT and observes EXECUTE and REPRODUCE. ROBUST belongs to future Paper III and is excluded. The two pathways are an analogy, not a literal equivalence or an empirical result.</w:t>
      </w:r>
    </w:p>
    <w:p>
      <w:pPr>
        <w:pStyle w:val="Heading1"/>
      </w:pPr>
      <w:r>
        <w:t>2 Prospective methods — not yet performed</w:t>
      </w:r>
    </w:p>
    <w:p>
      <w:pPr>
        <w:pStyle w:val="Heading2"/>
      </w:pPr>
      <w:r>
        <w:t>2.1 Source frame and eligibility</w:t>
      </w:r>
    </w:p>
    <w:p>
      <w:r>
        <w:t>Preserve deposited source records and derive paper identity separately. G1 assesses whether a central claim depends on a computational procedure with a potentially objective output. G2 identifies the principal target; G3/G4 assess lawful input and zero-purchase resource access; G5 describes specification sufficiency. Neither access nor specification failures exclude otherwise eligible papers from the all-eligible policy estimand. Historical code/data flags cannot replace these assessments.</w:t>
      </w:r>
    </w:p>
    <w:p>
      <w:pPr>
        <w:pStyle w:val="Heading2"/>
      </w:pPr>
      <w:r>
        <w:t>2.2 Sampling and target selection</w:t>
      </w:r>
    </w:p>
    <w:p>
      <w:r>
        <w:t>Using the approved frame, a diverse pilot will finalize operational rules. The main sample is approximately 100 papers, stratified using a deterministic disjoint assignment of the seven overlapping EPJ fields. Save within-field sampling probabilities and weights. Before each run, select one central target by the frozen hierarchy and encode its associated claim. No outcome-informed target replacement is permitted. Planning precision in the supplement is not empirical evidence.</w:t>
      </w:r>
    </w:p>
    <w:p>
      <w:pPr>
        <w:pStyle w:val="Heading2"/>
      </w:pPr>
      <w:r>
        <w:t>2.3 Independent reconstruction intervention</w:t>
      </w:r>
    </w:p>
    <w:p>
      <w:r>
        <w:t>Use three clean, fixed slots per paper with the same target, package and permissions and equivalent model and resource settings. Permitted materials are the publication, methodological supplement, vetted inputs and general documentation. Original implementations and other runs are prohibited. The broker must restrict model-side tools and execution networking. Separate VMs alone are insufficient. Prior model training exposure cannot be certified absent. No qualified harness currently exists.</w:t>
      </w:r>
    </w:p>
    <w:p>
      <w:pPr>
        <w:pStyle w:val="Heading2"/>
      </w:pPr>
      <w:r>
        <w:t>2.4 Outcomes and comparison</w:t>
      </w:r>
    </w:p>
    <w:p>
      <w:r>
        <w:t>L1 specification, L2 implementation, L3 execution, L4 numerical reproduction and L5 conclusion preservation remain separate. A run succeeds only when an independent implementation executes and meets the frozen target-specific numerical rule. Majority paper success requires two clean successes among three fixed slots. Missing or contaminated slots remain unresolved, with bounds rather than reduced denominators. Exact counts, displayed-precision scalar comparisons and target-specific stochastic rules avoid arbitrary universal tolerances. Matching numbers do not by themselves prove implementation fidelity.</w:t>
      </w:r>
    </w:p>
    <w:p>
      <w:pPr>
        <w:pStyle w:val="Heading2"/>
      </w:pPr>
      <w:r>
        <w:t>2.5 Statistical analysis and failure attribution</w:t>
      </w:r>
    </w:p>
    <w:p>
      <w:r>
        <w:t>Use design-weighted finite-corpus estimates and separately reported uncertainty and unknown-status bounds. Fixed-frame census counts do not have paper-sampling error. Report complete-triple consistency, hierarchical outcomes, failures and burden. Do not fit unjustified multivariable models or interpret code-sharing associations causally. Distinguish observed reconstruction failure from demonstrated publication inadequacy. The proposed weighted interval is not yet implemented; details and prespecified sensitivities are in the draft SAP.</w:t>
      </w:r>
    </w:p>
    <w:p>
      <w:pPr>
        <w:pStyle w:val="Heading2"/>
      </w:pPr>
      <w:r>
        <w:t>2.6 Freeze, reveal and human validation</w:t>
      </w:r>
    </w:p>
    <w:p>
      <w:r>
        <w:t>Seal targets before runs and all outcomes before any original-code reveal. Reveal is descriptive only; no perturbation or revised score is allowed. Prepare approximately 15 outcome-balanced human cases after agent freeze, with validators masked to agent and reveal results. Actual human work, institutional determination and participation records are indispensable. No human outcome is simulated. No robustness or multiverse analysis is part of Paper II.</w:t>
      </w:r>
    </w:p>
    <w:p>
      <w:pPr>
        <w:pStyle w:val="Heading1"/>
      </w:pPr>
      <w:r>
        <w:t>3 Observed preparation findings</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Current availability, eligibility and reconstruction outcomes remain unassessed. No reconstruction rate can be calculated.</w:t>
      </w:r>
    </w:p>
    <w:p>
      <w:pPr>
        <w:pStyle w:val="Heading1"/>
      </w:pPr>
      <w:r>
        <w:t>4 Discussion boundary and submission hold</w:t>
      </w:r>
    </w:p>
    <w:p>
      <w:r>
        <w:t>The source audit supports identity and denominator statements only. It cannot establish that publications are reconstructable or unreconstructable. A completed study must separate infrastructure barriers, scientific specification and agent limitations; agent failure is not human impossibility. Original-code availability may correlate with reporting practice but cannot be interpreted causally here. Methods-linter development and robustness analysis remain future work.</w:t>
      </w:r>
    </w:p>
    <w:p>
      <w:r>
        <w:t>Submission is on hold for qualification of an enforced information firewall, pilot and prospective freeze, actual classification and reconstruction evidence, and human-validation status. This document must not be submitted as a completed empirical study or presented as a frozen protocol.</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and preparation pipeline; no Paper II reconstruction dataset exists. Third-party full text is retained internally under its applicable rights and is not redistributed.</w:t>
      </w:r>
    </w:p>
    <w:p>
      <w:r>
        <w:t>AI assistance: Devin performed source, literature and design audits and generated preparation code and draft materials. These preparation sessions are not blind reconstruction replicates. Human investigators must validate the design, factual claims, interpretation and final manuscript, and retain scientific responsibility.</w:t>
      </w:r>
    </w:p>
    <w:p>
      <w:pPr>
        <w:pStyle w:val="Heading1"/>
      </w:pPr>
      <w:r>
        <w:t>References used in this preparation draft</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Goodman, Steven N.; Fanelli, Daniele; Ioannidis, John P. A. (2016). What does research reproducibility mean?. Published Perspective, Science Translational Medicine 8(341):341ps12, 2016. https://doi.org/10.1126/scitranslmed.aaf5027</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PREPARATION DRAFT — NOT SUBMISSION READY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PREPARATION DRAFT — NOT SUBMISSION READY</dc:subject>
  <dc:creator>Paper II preparation;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