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b w:val="0"/>
          <w:i w:val="0"/>
          <w:sz w:val="22"/>
        </w:rPr>
        <w:t>[Date]</w:t>
      </w:r>
    </w:p>
    <w:p>
      <w:pPr>
        <w:spacing w:after="120"/>
      </w:pPr>
      <w:r>
        <w:rPr>
          <w:rFonts w:ascii="Times New Roman" w:hAnsi="Times New Roman"/>
          <w:b w:val="0"/>
          <w:i w:val="0"/>
          <w:sz w:val="22"/>
        </w:rPr>
      </w:r>
    </w:p>
    <w:p>
      <w:pPr>
        <w:spacing w:after="120"/>
      </w:pPr>
      <w:r>
        <w:rPr>
          <w:rFonts w:ascii="Times New Roman" w:hAnsi="Times New Roman"/>
          <w:b/>
          <w:i w:val="0"/>
          <w:sz w:val="22"/>
        </w:rPr>
        <w:t>The Editor</w:t>
      </w:r>
    </w:p>
    <w:p>
      <w:pPr>
        <w:spacing w:after="120"/>
      </w:pPr>
      <w:r>
        <w:rPr>
          <w:rFonts w:ascii="Times New Roman" w:hAnsi="Times New Roman"/>
          <w:b w:val="0"/>
          <w:i w:val="0"/>
          <w:sz w:val="22"/>
        </w:rPr>
        <w:t>Scientific Data</w:t>
      </w:r>
    </w:p>
    <w:p>
      <w:pPr>
        <w:spacing w:after="120"/>
      </w:pPr>
      <w:r>
        <w:rPr>
          <w:rFonts w:ascii="Times New Roman" w:hAnsi="Times New Roman"/>
          <w:b w:val="0"/>
          <w:i w:val="0"/>
          <w:sz w:val="22"/>
        </w:rPr>
        <w:t>Nature Portfolio</w:t>
      </w:r>
    </w:p>
    <w:p>
      <w:pPr>
        <w:spacing w:after="120"/>
      </w:pPr>
      <w:r>
        <w:rPr>
          <w:rFonts w:ascii="Times New Roman" w:hAnsi="Times New Roman"/>
          <w:b w:val="0"/>
          <w:i w:val="0"/>
          <w:sz w:val="22"/>
        </w:rPr>
      </w:r>
    </w:p>
    <w:p>
      <w:pPr>
        <w:spacing w:after="240"/>
      </w:pPr>
      <w:r>
        <w:rPr>
          <w:rFonts w:ascii="Times New Roman" w:hAnsi="Times New Roman"/>
          <w:b/>
          <w:i w:val="0"/>
          <w:sz w:val="22"/>
        </w:rPr>
        <w:t>Re: Submission of Article — "The Hidden Cost of Reproducibility: Commercial Software Dependency in Published Research and the Version Accessibility Gap"</w:t>
      </w:r>
    </w:p>
    <w:p>
      <w:pPr>
        <w:spacing w:after="240"/>
      </w:pPr>
      <w:r>
        <w:rPr>
          <w:rFonts w:ascii="Times New Roman" w:hAnsi="Times New Roman"/>
          <w:b w:val="0"/>
          <w:i w:val="0"/>
          <w:sz w:val="22"/>
        </w:rPr>
        <w:t>Dear Editor,</w:t>
      </w:r>
    </w:p>
    <w:p>
      <w:pPr>
        <w:spacing w:after="200"/>
      </w:pPr>
      <w:r>
        <w:rPr>
          <w:rFonts w:ascii="Times New Roman" w:hAnsi="Times New Roman"/>
          <w:b w:val="0"/>
          <w:i w:val="0"/>
          <w:sz w:val="22"/>
        </w:rPr>
        <w:t>We are pleased to submit our manuscript entitled "The Hidden Cost of Reproducibility: Commercial Software Dependency in Published Research and the Version Accessibility Gap" for consideration as an Article in Scientific Data. This work addresses a critical yet underexplored dimension of the reproducibility crisis: the dependency of published research on commercial software whose specific versions are often inaccessible for replication.</w:t>
      </w:r>
    </w:p>
    <w:p>
      <w:pPr>
        <w:spacing w:after="200"/>
      </w:pPr>
      <w:r>
        <w:rPr>
          <w:rFonts w:ascii="Times New Roman" w:hAnsi="Times New Roman"/>
          <w:b w:val="0"/>
          <w:i w:val="0"/>
          <w:sz w:val="22"/>
        </w:rPr>
        <w:t>We conducted a large-scale cross-sectional empirical study of 10,000 papers published between 2020 and 2025, sampled from PubMed using stratified random sampling across seven research fields (biomedical sciences, clinical medicine, chemistry and materials, physics and engineering, social and behavioral sciences, computational science, and environmental and earth sciences). Using a curated set of over 95 regular expression patterns, we extracted software mentions, version numbers, license types, and estimated replication costs for each paper. We complemented these empirical findings with a systematic survey of legacy version access policies across major commercial software vendors.</w:t>
      </w:r>
    </w:p>
    <w:p>
      <w:pPr>
        <w:spacing w:after="200"/>
      </w:pPr>
      <w:r>
        <w:rPr>
          <w:rFonts w:ascii="Times New Roman" w:hAnsi="Times New Roman"/>
          <w:b w:val="0"/>
          <w:i w:val="0"/>
          <w:sz w:val="22"/>
        </w:rPr>
        <w:t>Our principal findings are: (1) 18.5% of papers relied on commercial software, with an estimated mean replication cost of $340 per paper; (2) only 17.0% of detected software had associated version numbers; (3) 97.0% of cited commercial software versions were classified as likely unavailable from vendors; and (4) no vendor explicitly offers "reproducibility licenses" for verification purposes. We identify a "version accessibility gap" — the disconnect between software versions cited in published research and those actually obtainable for replication — as a quantifiable and policy-relevant barrier to reproducibility.</w:t>
      </w:r>
    </w:p>
    <w:p>
      <w:pPr>
        <w:spacing w:after="200"/>
      </w:pPr>
      <w:r>
        <w:rPr>
          <w:rFonts w:ascii="Times New Roman" w:hAnsi="Times New Roman"/>
          <w:b w:val="0"/>
          <w:i w:val="0"/>
          <w:sz w:val="22"/>
        </w:rPr>
        <w:t>We believe this manuscript is well suited to the Article format of Scientific Data for several reasons. First, the work directly addresses data sharing policies and reproducibility infrastructure — core topics within the journal's scope. Second, our complete dataset of 10,000 papers with 35 extracted variables, along with the full sampling and extraction pipeline code, is publicly available, enabling further research on computational reproducibility. Third, the findings have immediate policy implications for publishers, funding agencies, and software vendors, and we propose a concrete "Reproducibility License" framework to address the identified gap. The interdisciplinary nature of our sample — spanning seven major research fields — ensures broad relevance to the journal's diverse readership.</w:t>
      </w:r>
    </w:p>
    <w:p>
      <w:pPr>
        <w:spacing w:after="200"/>
      </w:pPr>
      <w:r>
        <w:rPr>
          <w:rFonts w:ascii="Times New Roman" w:hAnsi="Times New Roman"/>
          <w:b w:val="0"/>
          <w:i w:val="0"/>
          <w:sz w:val="22"/>
        </w:rPr>
        <w:t>This manuscript has not been previously published, is not currently under consideration elsewhere, and all authors have approved the submission. We have no competing interests to declare. The complete dataset and analysis code will be deposited in a public repository upon acceptance.</w:t>
      </w:r>
    </w:p>
    <w:p>
      <w:pPr>
        <w:spacing w:after="200"/>
      </w:pPr>
      <w:r>
        <w:rPr>
          <w:rFonts w:ascii="Times New Roman" w:hAnsi="Times New Roman"/>
          <w:b w:val="0"/>
          <w:i w:val="0"/>
          <w:sz w:val="22"/>
        </w:rPr>
        <w:t>Should you require suggested reviewers, we would be happy to provide names of researchers with expertise in research reproducibility, scientometrics, and software sustainability.</w:t>
      </w:r>
    </w:p>
    <w:p>
      <w:pPr>
        <w:spacing w:after="240"/>
      </w:pPr>
      <w:r>
        <w:rPr>
          <w:rFonts w:ascii="Times New Roman" w:hAnsi="Times New Roman"/>
          <w:b w:val="0"/>
          <w:i w:val="0"/>
          <w:sz w:val="22"/>
        </w:rPr>
        <w:t>We look forward to your consideration of this work.</w:t>
      </w:r>
    </w:p>
    <w:p>
      <w:pPr>
        <w:spacing w:after="120"/>
      </w:pPr>
      <w:r>
        <w:rPr>
          <w:rFonts w:ascii="Times New Roman" w:hAnsi="Times New Roman"/>
          <w:b w:val="0"/>
          <w:i w:val="0"/>
          <w:sz w:val="22"/>
        </w:rPr>
        <w:t>Sincerely,</w:t>
      </w:r>
    </w:p>
    <w:p>
      <w:pPr>
        <w:spacing w:after="120"/>
      </w:pPr>
      <w:r>
        <w:rPr>
          <w:rFonts w:ascii="Times New Roman" w:hAnsi="Times New Roman"/>
          <w:b w:val="0"/>
          <w:i w:val="0"/>
          <w:sz w:val="22"/>
        </w:rPr>
      </w:r>
    </w:p>
    <w:p>
      <w:pPr>
        <w:spacing w:after="120"/>
      </w:pPr>
      <w:r>
        <w:rPr>
          <w:rFonts w:ascii="Times New Roman" w:hAnsi="Times New Roman"/>
          <w:b/>
          <w:i w:val="0"/>
          <w:sz w:val="22"/>
        </w:rPr>
        <w:t>[Corresponding Author Name]</w:t>
      </w:r>
    </w:p>
    <w:p>
      <w:pPr>
        <w:spacing w:after="120"/>
      </w:pPr>
      <w:r>
        <w:rPr>
          <w:rFonts w:ascii="Times New Roman" w:hAnsi="Times New Roman"/>
          <w:b w:val="0"/>
          <w:i w:val="0"/>
          <w:sz w:val="22"/>
        </w:rPr>
        <w:t>[Affiliation]</w:t>
      </w:r>
    </w:p>
    <w:p>
      <w:pPr>
        <w:spacing w:after="120"/>
      </w:pPr>
      <w:r>
        <w:rPr>
          <w:rFonts w:ascii="Times New Roman" w:hAnsi="Times New Roman"/>
          <w:b w:val="0"/>
          <w:i w:val="0"/>
          <w:sz w:val="22"/>
        </w:rPr>
        <w:t>[Email Address]</w:t>
      </w:r>
    </w:p>
    <w:p>
      <w:pPr>
        <w:spacing w:after="120"/>
      </w:pPr>
      <w:r>
        <w:rPr>
          <w:rFonts w:ascii="Times New Roman" w:hAnsi="Times New Roman"/>
          <w:b w:val="0"/>
          <w:i w:val="0"/>
          <w:sz w:val="22"/>
        </w:rPr>
        <w:t>[ORCID]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