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sz w:val="22"/>
        </w:rPr>
        <w:t>June 10, 2026</w:t>
      </w:r>
    </w:p>
    <w:p/>
    <w:p>
      <w:r>
        <w:rPr>
          <w:rFonts w:ascii="Times New Roman" w:hAnsi="Times New Roman"/>
          <w:b/>
          <w:sz w:val="22"/>
        </w:rPr>
        <w:t>Dr Danielle Rae Reeder</w:t>
      </w:r>
    </w:p>
    <w:p>
      <w:r>
        <w:rPr>
          <w:rFonts w:ascii="Times New Roman" w:hAnsi="Times New Roman"/>
          <w:sz w:val="22"/>
        </w:rPr>
        <w:t>Editor</w:t>
      </w:r>
    </w:p>
    <w:p>
      <w:r>
        <w:rPr>
          <w:rFonts w:ascii="Times New Roman" w:hAnsi="Times New Roman"/>
          <w:sz w:val="22"/>
        </w:rPr>
        <w:t>EPJ Research Infrastructures</w:t>
      </w:r>
    </w:p>
    <w:p>
      <w:r>
        <w:rPr>
          <w:rFonts w:ascii="Times New Roman" w:hAnsi="Times New Roman"/>
          <w:sz w:val="22"/>
        </w:rPr>
        <w:t>Springer Nature</w:t>
      </w:r>
    </w:p>
    <w:p/>
    <w:p>
      <w:r>
        <w:rPr>
          <w:rFonts w:ascii="Times New Roman" w:hAnsi="Times New Roman"/>
          <w:b/>
          <w:sz w:val="22"/>
        </w:rPr>
        <w:t>Re: Revised Manuscript — Submission ID 55ab98e1-ce02-4b26-868a-26bbd44f15e3</w:t>
      </w:r>
    </w:p>
    <w:p/>
    <w:p>
      <w:r>
        <w:rPr>
          <w:rFonts w:ascii="Times New Roman" w:hAnsi="Times New Roman"/>
          <w:i/>
          <w:sz w:val="22"/>
        </w:rPr>
        <w:t>"The Hidden Cost of Reproducibility: Commercial Software Dependency in Published Research and the Version Accessibility Gap"</w:t>
      </w:r>
    </w:p>
    <w:p/>
    <w:p>
      <w:pPr>
        <w:spacing w:after="120"/>
      </w:pPr>
      <w:r>
        <w:rPr>
          <w:rFonts w:ascii="Times New Roman" w:hAnsi="Times New Roman"/>
          <w:sz w:val="22"/>
        </w:rPr>
        <w:t>Dear Dr Reeder,</w:t>
      </w:r>
    </w:p>
    <w:p>
      <w:pPr>
        <w:spacing w:after="120"/>
      </w:pPr>
      <w:r>
        <w:rPr>
          <w:rFonts w:ascii="Times New Roman" w:hAnsi="Times New Roman"/>
          <w:sz w:val="22"/>
        </w:rPr>
        <w:t>Thank you for the opportunity to revise our manuscript and for the constructive feedback from the editor and reviewer. We found the comments insightful and they have substantially improved the paper.</w:t>
      </w:r>
    </w:p>
    <w:p>
      <w:pPr>
        <w:spacing w:after="120"/>
      </w:pPr>
      <w:r>
        <w:rPr>
          <w:rFonts w:ascii="Times New Roman" w:hAnsi="Times New Roman"/>
          <w:sz w:val="22"/>
        </w:rPr>
        <w:t>We have carefully addressed all points raised, including:</w:t>
      </w:r>
    </w:p>
    <w:p>
      <w:pPr>
        <w:pStyle w:val="ListBullet"/>
      </w:pPr>
      <w:r>
        <w:rPr>
          <w:rFonts w:ascii="Times New Roman" w:hAnsi="Times New Roman"/>
          <w:sz w:val="20"/>
        </w:rPr>
        <w:t>Added explicit definitions of key terms (reproducibility, replicability, robustness, version accessibility gap) following Nosek et al. (new Section 1.2)</w:t>
      </w:r>
    </w:p>
    <w:p>
      <w:pPr>
        <w:pStyle w:val="ListBullet"/>
      </w:pPr>
      <w:r>
        <w:rPr>
          <w:rFonts w:ascii="Times New Roman" w:hAnsi="Times New Roman"/>
          <w:sz w:val="20"/>
        </w:rPr>
        <w:t>Strengthened the Introduction with crisis context, stakeholder impact analysis, and illustrative case studies demonstrating why version accessibility matters (Sections 1.1 and 1.3)</w:t>
      </w:r>
    </w:p>
    <w:p>
      <w:pPr>
        <w:pStyle w:val="ListBullet"/>
      </w:pPr>
      <w:r>
        <w:rPr>
          <w:rFonts w:ascii="Times New Roman" w:hAnsi="Times New Roman"/>
          <w:sz w:val="20"/>
        </w:rPr>
        <w:t>Normalised reporting rates using software-detecting articles as the denominator throughout (Reviewer 1)</w:t>
      </w:r>
    </w:p>
    <w:p>
      <w:pPr>
        <w:pStyle w:val="ListBullet"/>
      </w:pPr>
      <w:r>
        <w:rPr>
          <w:rFonts w:ascii="Times New Roman" w:hAnsi="Times New Roman"/>
          <w:sz w:val="20"/>
        </w:rPr>
        <w:t>Combined Figures 2 and 3 into a single two-panel figure with a "Total" row added to the heatmap (Reviewer 1)</w:t>
      </w:r>
    </w:p>
    <w:p>
      <w:pPr>
        <w:pStyle w:val="ListBullet"/>
      </w:pPr>
      <w:r>
        <w:rPr>
          <w:rFonts w:ascii="Times New Roman" w:hAnsi="Times New Roman"/>
          <w:sz w:val="20"/>
        </w:rPr>
        <w:t>Fixed the internal title of Figure 3 and improved Figure 2 title precision (Reviewer 1)</w:t>
      </w:r>
    </w:p>
    <w:p>
      <w:pPr>
        <w:pStyle w:val="ListBullet"/>
      </w:pPr>
      <w:r>
        <w:rPr>
          <w:rFonts w:ascii="Times New Roman" w:hAnsi="Times New Roman"/>
          <w:sz w:val="20"/>
        </w:rPr>
        <w:t>Added a PMC full-text sensitivity analysis (new Section 3.9, Figure 8) (Reviewer 1)</w:t>
      </w:r>
    </w:p>
    <w:p>
      <w:pPr>
        <w:pStyle w:val="ListBullet"/>
      </w:pPr>
      <w:r>
        <w:rPr>
          <w:rFonts w:ascii="Times New Roman" w:hAnsi="Times New Roman"/>
          <w:sz w:val="20"/>
        </w:rPr>
        <w:t>Added country/income-group analysis comparing HIC and LMIC researchers (new Section 3.10, Figure 7) (Editor and Reviewer 1)</w:t>
      </w:r>
    </w:p>
    <w:p>
      <w:pPr>
        <w:pStyle w:val="ListBullet"/>
      </w:pPr>
      <w:r>
        <w:rPr>
          <w:rFonts w:ascii="Times New Roman" w:hAnsi="Times New Roman"/>
          <w:sz w:val="20"/>
        </w:rPr>
        <w:t>Elaborated on the Mathematica v14.1 licensing change with technical detail (Reviewer 1)</w:t>
      </w:r>
    </w:p>
    <w:p>
      <w:pPr>
        <w:pStyle w:val="ListBullet"/>
      </w:pPr>
      <w:r>
        <w:rPr>
          <w:rFonts w:ascii="Times New Roman" w:hAnsi="Times New Roman"/>
          <w:sz w:val="20"/>
        </w:rPr>
        <w:t>Clarified the "unknown" designation for open-source software version availability (Reviewer 1)</w:t>
      </w:r>
    </w:p>
    <w:p>
      <w:pPr>
        <w:pStyle w:val="ListBullet"/>
      </w:pPr>
      <w:r>
        <w:rPr>
          <w:rFonts w:ascii="Times New Roman" w:hAnsi="Times New Roman"/>
          <w:sz w:val="20"/>
        </w:rPr>
        <w:t>Formalised all policy recommendations with explicit justifications grounded in study findings (Editor)</w:t>
      </w:r>
    </w:p>
    <w:p>
      <w:pPr>
        <w:pStyle w:val="ListBullet"/>
      </w:pPr>
      <w:r>
        <w:rPr>
          <w:rFonts w:ascii="Times New Roman" w:hAnsi="Times New Roman"/>
          <w:sz w:val="20"/>
        </w:rPr>
        <w:t>Tempered conclusions and expanded the limitations section (Editor)</w:t>
      </w:r>
    </w:p>
    <w:p>
      <w:pPr>
        <w:pStyle w:val="ListBullet"/>
      </w:pPr>
      <w:r>
        <w:rPr>
          <w:rFonts w:ascii="Times New Roman" w:hAnsi="Times New Roman"/>
          <w:sz w:val="20"/>
        </w:rPr>
        <w:t>Updated references to include Nosek et al. glossary, Freedman et al. cost estimates, and other supporting literature</w:t>
      </w:r>
    </w:p>
    <w:p/>
    <w:p>
      <w:pPr>
        <w:spacing w:after="120"/>
      </w:pPr>
      <w:r>
        <w:rPr>
          <w:rFonts w:ascii="Times New Roman" w:hAnsi="Times New Roman"/>
          <w:sz w:val="22"/>
        </w:rPr>
        <w:t>A detailed point-by-point response to all editor and reviewer comments is provided as a separate document.</w:t>
      </w:r>
    </w:p>
    <w:p>
      <w:pPr>
        <w:spacing w:after="120"/>
      </w:pPr>
      <w:r>
        <w:rPr>
          <w:rFonts w:ascii="Times New Roman" w:hAnsi="Times New Roman"/>
          <w:sz w:val="22"/>
        </w:rPr>
        <w:t>We believe these revisions address all concerns raised and substantially strengthen the manuscript. We look forward to your decision.</w:t>
      </w:r>
    </w:p>
    <w:p>
      <w:pPr>
        <w:spacing w:after="120"/>
      </w:pPr>
      <w:r>
        <w:rPr>
          <w:rFonts w:ascii="Times New Roman" w:hAnsi="Times New Roman"/>
          <w:sz w:val="22"/>
        </w:rPr>
        <w:t>Sincerely,</w:t>
      </w:r>
    </w:p>
    <w:p/>
    <w:p>
      <w:r>
        <w:rPr>
          <w:rFonts w:ascii="Times New Roman" w:hAnsi="Times New Roman"/>
          <w:b/>
          <w:sz w:val="22"/>
        </w:rPr>
        <w:t>Tatsuki Onishi</w:t>
      </w:r>
    </w:p>
    <w:p>
      <w:r>
        <w:rPr>
          <w:rFonts w:ascii="Times New Roman" w:hAnsi="Times New Roman"/>
          <w:sz w:val="22"/>
        </w:rPr>
        <w:t>Department of Anesthesiology, Shiga University of Medical Science</w:t>
      </w:r>
    </w:p>
    <w:p>
      <w:r>
        <w:rPr>
          <w:rFonts w:ascii="Times New Roman" w:hAnsi="Times New Roman"/>
          <w:sz w:val="22"/>
        </w:rPr>
        <w:t>bougtoir@gmail.com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