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Times New Roman" w:hAnsi="Times New Roman"/>
          <w:b w:val="0"/>
          <w:i w:val="0"/>
          <w:sz w:val="22"/>
        </w:rPr>
        <w:t>[日付]</w:t>
      </w:r>
    </w:p>
    <w:p>
      <w:pPr>
        <w:spacing w:after="120"/>
      </w:pPr>
      <w:r>
        <w:rPr>
          <w:rFonts w:ascii="Times New Roman" w:hAnsi="Times New Roman"/>
          <w:b w:val="0"/>
          <w:i w:val="0"/>
          <w:sz w:val="22"/>
        </w:rPr>
      </w:r>
    </w:p>
    <w:p>
      <w:pPr>
        <w:spacing w:after="120"/>
      </w:pPr>
      <w:r>
        <w:rPr>
          <w:rFonts w:ascii="Times New Roman" w:hAnsi="Times New Roman"/>
          <w:b/>
          <w:i w:val="0"/>
          <w:sz w:val="22"/>
        </w:rPr>
        <w:t>The Editor</w:t>
      </w:r>
    </w:p>
    <w:p>
      <w:pPr>
        <w:spacing w:after="120"/>
      </w:pPr>
      <w:r>
        <w:rPr>
          <w:rFonts w:ascii="Times New Roman" w:hAnsi="Times New Roman"/>
          <w:b w:val="0"/>
          <w:i w:val="0"/>
          <w:sz w:val="22"/>
        </w:rPr>
        <w:t>Scientific Data</w:t>
      </w:r>
    </w:p>
    <w:p>
      <w:pPr>
        <w:spacing w:after="120"/>
      </w:pPr>
      <w:r>
        <w:rPr>
          <w:rFonts w:ascii="Times New Roman" w:hAnsi="Times New Roman"/>
          <w:b w:val="0"/>
          <w:i w:val="0"/>
          <w:sz w:val="22"/>
        </w:rPr>
        <w:t>Nature Portfolio</w:t>
      </w:r>
    </w:p>
    <w:p>
      <w:pPr>
        <w:spacing w:after="120"/>
      </w:pPr>
      <w:r>
        <w:rPr>
          <w:rFonts w:ascii="Times New Roman" w:hAnsi="Times New Roman"/>
          <w:b w:val="0"/>
          <w:i w:val="0"/>
          <w:sz w:val="22"/>
        </w:rPr>
      </w:r>
    </w:p>
    <w:p>
      <w:pPr>
        <w:spacing w:after="240"/>
      </w:pPr>
      <w:r>
        <w:rPr>
          <w:rFonts w:ascii="Times New Roman" w:hAnsi="Times New Roman"/>
          <w:b/>
          <w:i w:val="0"/>
          <w:sz w:val="22"/>
        </w:rPr>
        <w:t>Re: Article投稿 — "The Hidden Cost of Reproducibility: Commercial Software Dependency in Published Research and the Version Accessibility Gap"</w:t>
      </w:r>
    </w:p>
    <w:p>
      <w:pPr>
        <w:spacing w:after="240"/>
      </w:pPr>
      <w:r>
        <w:rPr>
          <w:rFonts w:ascii="Times New Roman" w:hAnsi="Times New Roman"/>
          <w:b w:val="0"/>
          <w:i w:val="0"/>
          <w:sz w:val="22"/>
        </w:rPr>
        <w:t>Dear Editor,</w:t>
      </w:r>
    </w:p>
    <w:p>
      <w:pPr>
        <w:spacing w:after="200"/>
      </w:pPr>
      <w:r>
        <w:rPr>
          <w:rFonts w:ascii="Times New Roman" w:hAnsi="Times New Roman"/>
          <w:b w:val="0"/>
          <w:i w:val="0"/>
          <w:sz w:val="22"/>
        </w:rPr>
        <w:t>このたび、"The Hidden Cost of Reproducibility: Commercial Software Dependency in Published Research and the Version Accessibility Gap"と題する論文を、Scientific Data誌のArticleとしてご査読いただきたく投稿いたします。本研究は、再現性の危機において十分に探究されていない重要な側面、すなわち特定バージョンが追試のために入手困難な商用ソフトウェアへの依存について取り組んでいます。</w:t>
      </w:r>
    </w:p>
    <w:p>
      <w:pPr>
        <w:spacing w:after="200"/>
      </w:pPr>
      <w:r>
        <w:rPr>
          <w:rFonts w:ascii="Times New Roman" w:hAnsi="Times New Roman"/>
          <w:b w:val="0"/>
          <w:i w:val="0"/>
          <w:sz w:val="22"/>
        </w:rPr>
        <w:t>PubMedの層別ランダムサンプリングにより、7つの研究分野（基礎医学、臨床医学、化学・材料科学、物理学・工学、社会・行動科学、計算科学、環境・地球科学）から2020年から2025年に出版された10,000本の論文を対象とした大規模横断研究を実施しました。95以上の正規表現パターンを用いて、各論文のソフトウェア言及、バージョン番号、ライセンス種別、推定追試コストを抽出しました。さらに、主要商用ソフトウェアベンダーの旧バージョンアクセスポリシーの体系的調査を実施し、実証データを補完しました。</w:t>
      </w:r>
    </w:p>
    <w:p>
      <w:pPr>
        <w:spacing w:after="200"/>
      </w:pPr>
      <w:r>
        <w:rPr>
          <w:rFonts w:ascii="Times New Roman" w:hAnsi="Times New Roman"/>
          <w:b w:val="0"/>
          <w:i w:val="0"/>
          <w:sz w:val="22"/>
        </w:rPr>
        <w:t>主要な知見は以下の通りです：(1) 18.5%の論文が商用ソフトウェアに依存しており、平均追試コストは1論文あたり$340と推定されました。(2) 検出されたソフトウェアのうちバージョン番号が付随していたのはわずか17.0%でした。(3) 引用された商用ソフトウェアバージョンの97.0%が「入手困難」に分類されました。(4) 検証目的の「再現性ライセンス」を明示的に提供しているベンダーは皆無でした。我々は、出版された研究で引用されたソフトウェアバージョンと追試のために実際に入手可能なバージョンとの乖離を「バージョンアクセシビリティギャップ」として特定し、定量化可能かつ政策的に重要な再現性の障壁として提示します。</w:t>
      </w:r>
    </w:p>
    <w:p>
      <w:pPr>
        <w:spacing w:after="200"/>
      </w:pPr>
      <w:r>
        <w:rPr>
          <w:rFonts w:ascii="Times New Roman" w:hAnsi="Times New Roman"/>
          <w:b w:val="0"/>
          <w:i w:val="0"/>
          <w:sz w:val="22"/>
        </w:rPr>
        <w:t>本論文がScientific DataのArticle形式に適する理由は以下の通りです。第一に、データ共有ポリシーと再現性インフラストラクチャという本誌のスコープの中核的トピックに直接取り組んでいます。第二に、10,000本の論文から抽出した35変数の完全なデータセットと、サンプリング・抽出パイプラインの全コードを公開しており、計算再現性に関するさらなる研究を可能にします。第三に、出版社、助成機関、ソフトウェアベンダーに対する即時的な政策的含意を有し、「再現性ライセンス」フレームワークを具体的に提案しています。7つの主要研究分野にまたがる学際的サンプルにより、本誌の多様な読者層に広く関連する内容となっています。</w:t>
      </w:r>
    </w:p>
    <w:p>
      <w:pPr>
        <w:spacing w:after="200"/>
      </w:pPr>
      <w:r>
        <w:rPr>
          <w:rFonts w:ascii="Times New Roman" w:hAnsi="Times New Roman"/>
          <w:b w:val="0"/>
          <w:i w:val="0"/>
          <w:sz w:val="22"/>
        </w:rPr>
        <w:t>本論文は他誌に投稿中または掲載済みではなく、全著者が投稿を承認しています。利益相反はありません。完全なデータセットと分析コードは、採択後に公開リポジトリに登録いたします。</w:t>
      </w:r>
    </w:p>
    <w:p>
      <w:pPr>
        <w:spacing w:after="200"/>
      </w:pPr>
      <w:r>
        <w:rPr>
          <w:rFonts w:ascii="Times New Roman" w:hAnsi="Times New Roman"/>
          <w:b w:val="0"/>
          <w:i w:val="0"/>
          <w:sz w:val="22"/>
        </w:rPr>
        <w:t>査読者の推薦が必要な場合は、研究再現性、科学計量学、ソフトウェア持続可能性の専門家をご提案いたします。</w:t>
      </w:r>
    </w:p>
    <w:p>
      <w:pPr>
        <w:spacing w:after="240"/>
      </w:pPr>
      <w:r>
        <w:rPr>
          <w:rFonts w:ascii="Times New Roman" w:hAnsi="Times New Roman"/>
          <w:b w:val="0"/>
          <w:i w:val="0"/>
          <w:sz w:val="22"/>
        </w:rPr>
        <w:t>ご査読のほど、よろしくお願い申し上げます。</w:t>
      </w:r>
    </w:p>
    <w:p>
      <w:pPr>
        <w:spacing w:after="120"/>
      </w:pPr>
      <w:r>
        <w:rPr>
          <w:rFonts w:ascii="Times New Roman" w:hAnsi="Times New Roman"/>
          <w:b w:val="0"/>
          <w:i w:val="0"/>
          <w:sz w:val="22"/>
        </w:rPr>
        <w:t>敬具</w:t>
      </w:r>
    </w:p>
    <w:p>
      <w:pPr>
        <w:spacing w:after="120"/>
      </w:pPr>
      <w:r>
        <w:rPr>
          <w:rFonts w:ascii="Times New Roman" w:hAnsi="Times New Roman"/>
          <w:b w:val="0"/>
          <w:i w:val="0"/>
          <w:sz w:val="22"/>
        </w:rPr>
      </w:r>
    </w:p>
    <w:p>
      <w:pPr>
        <w:spacing w:after="120"/>
      </w:pPr>
      <w:r>
        <w:rPr>
          <w:rFonts w:ascii="Times New Roman" w:hAnsi="Times New Roman"/>
          <w:b/>
          <w:i w:val="0"/>
          <w:sz w:val="22"/>
        </w:rPr>
        <w:t>[責任著者氏名]</w:t>
      </w:r>
    </w:p>
    <w:p>
      <w:pPr>
        <w:spacing w:after="120"/>
      </w:pPr>
      <w:r>
        <w:rPr>
          <w:rFonts w:ascii="Times New Roman" w:hAnsi="Times New Roman"/>
          <w:b w:val="0"/>
          <w:i w:val="0"/>
          <w:sz w:val="22"/>
        </w:rPr>
        <w:t>[所属機関]</w:t>
      </w:r>
    </w:p>
    <w:p>
      <w:pPr>
        <w:spacing w:after="120"/>
      </w:pPr>
      <w:r>
        <w:rPr>
          <w:rFonts w:ascii="Times New Roman" w:hAnsi="Times New Roman"/>
          <w:b w:val="0"/>
          <w:i w:val="0"/>
          <w:sz w:val="22"/>
        </w:rPr>
        <w:t>[メールアドレス]</w:t>
      </w:r>
    </w:p>
    <w:p>
      <w:pPr>
        <w:spacing w:after="120"/>
      </w:pPr>
      <w:r>
        <w:rPr>
          <w:rFonts w:ascii="Times New Roman" w:hAnsi="Times New Roman"/>
          <w:b w:val="0"/>
          <w:i w:val="0"/>
          <w:sz w:val="22"/>
        </w:rPr>
        <w:t>[ORCID]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