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2"/>
        </w:rPr>
        <w:t>The Hidden Cost of Reproducibility: Commercial Software Dependency in Published Research and the Version Accessibility Gap</w:t>
      </w:r>
    </w:p>
    <w:p>
      <w:pPr>
        <w:jc w:val="center"/>
      </w:pPr>
      <w:r>
        <w:rPr>
          <w:rFonts w:ascii="Times New Roman" w:hAnsi="Times New Roman"/>
          <w:b w:val="0"/>
          <w:i/>
          <w:sz w:val="22"/>
        </w:rPr>
        <w:t>[Author names to be added]</w:t>
      </w:r>
    </w:p>
    <w:p>
      <w:pPr>
        <w:jc w:val="center"/>
      </w:pPr>
      <w:r>
        <w:rPr>
          <w:rFonts w:ascii="Times New Roman" w:hAnsi="Times New Roman"/>
          <w:b w:val="0"/>
          <w:i/>
          <w:sz w:val="20"/>
        </w:rPr>
        <w:t>[Affiliations to be added]</w:t>
      </w:r>
    </w:p>
    <w:p>
      <w:pPr>
        <w:jc w:val="center"/>
      </w:pPr>
      <w:r>
        <w:rPr>
          <w:rFonts w:ascii="Times New Roman" w:hAnsi="Times New Roman"/>
          <w:b w:val="0"/>
          <w:i/>
          <w:sz w:val="20"/>
        </w:rPr>
        <w:t>[Corresponding author email to be added]</w:t>
      </w:r>
    </w:p>
    <w:p>
      <w:r>
        <w:br w:type="page"/>
      </w:r>
    </w:p>
    <w:p>
      <w:pPr>
        <w:pStyle w:val="Heading1"/>
      </w:pPr>
      <w:r>
        <w:t>Abstract</w:t>
      </w:r>
    </w:p>
    <w:p>
      <w:r>
        <w:rPr>
          <w:rFonts w:ascii="Times New Roman" w:hAnsi="Times New Roman"/>
          <w:b w:val="0"/>
          <w:i w:val="0"/>
          <w:sz w:val="22"/>
        </w:rPr>
        <w:t>The reproducibility crisis in science has prompted widespread efforts to improve data and code sharing. However, a critical yet underexplored barrier persists: dependency on commercial software whose specific versions are often inaccessible for replication. We conducted a cross-sectional empirical study of 10,000 papers published between 2020 and 2025, sampled from PubMed using stratified random sampling across seven research fields. Our analysis reveals that 18.5% of papers relied on commercial software, with an estimated mean replication cost of $1,900 per paper for those requiring proprietary tools. Only 17.0% of detected software had associated version numbers, and the majority of cited commercial software versions were classified as likely unavailable from vendors. Complementing these empirical findings, we conducted a systematic survey of legacy version access policies across major commercial software vendors, finding that no vendor explicitly offers "reproducibility licenses" for verification purposes. We propose a framework for addressing this "version accessibility gap" through the establishment of reproducibility licenses, mandatory version archiving, and enhanced reporting standards. Our complete dataset and analysis pipeline are publicly available to support further research on computational reproducibility.</w:t>
      </w:r>
    </w:p>
    <w:p>
      <w:r>
        <w:rPr>
          <w:rFonts w:ascii="Times New Roman" w:hAnsi="Times New Roman"/>
          <w:b w:val="0"/>
          <w:i/>
          <w:sz w:val="20"/>
        </w:rPr>
        <w:t>Keywords: reproducibility crisis; commercial software; version accessibility; replication cost; software dependency; research infrastructure</w:t>
      </w:r>
    </w:p>
    <w:p>
      <w:r>
        <w:br w:type="page"/>
      </w:r>
    </w:p>
    <w:p>
      <w:pPr>
        <w:pStyle w:val="Heading1"/>
      </w:pPr>
      <w:r>
        <w:t>1 Introduction</w:t>
      </w:r>
    </w:p>
    <w:p>
      <w:r>
        <w:rPr>
          <w:rFonts w:ascii="Times New Roman" w:hAnsi="Times New Roman"/>
          <w:b w:val="0"/>
          <w:i w:val="0"/>
          <w:sz w:val="22"/>
        </w:rPr>
        <w:t>More than a decade after the term "reproducibility crisis" entered mainstream scientific discourse [1], significant progress has been made in establishing norms for data sharing and code availability. The FAIR Guiding Principles [2] have provided a foundational framework for scientific data management, while early work by Gentleman and Temple Lang [3] established the concept of computable documents integrating code and narrative. Subsequent efforts have focused on open data mandates, code sharing policies [4, 5], and the development of reproducibility-enhancing tools such as containerization platforms (Docker, Singularity) and workflow management systems (Nextflow, Snakemake).</w:t>
      </w:r>
    </w:p>
    <w:p>
      <w:r>
        <w:rPr>
          <w:rFonts w:ascii="Times New Roman" w:hAnsi="Times New Roman"/>
          <w:b w:val="0"/>
          <w:i w:val="0"/>
          <w:sz w:val="22"/>
        </w:rPr>
        <w:t>However, these efforts have largely overlooked a fundamental barrier: the dependency of published research on commercial software. Miyakawa [6] has highlighted the broader crisis of missing raw data in published research, while Konkol et al. [7] documented the challenges of computational reproducibility in geoscientific papers. When a researcher reports using "SPSS version 26" or "MATLAB R2021a" in their methods section, an implicit assumption is made that future researchers can access these exact tools to verify the findings. In practice, this assumption frequently fails. Commercial software vendors typically do not provide access to legacy versions, subscription models prevent access after license expiration, and the substantial cost of proprietary licenses creates financial barriers to replication, particularly for researchers in low- and middle-income countries.</w:t>
      </w:r>
    </w:p>
    <w:p>
      <w:r>
        <w:rPr>
          <w:rFonts w:ascii="Times New Roman" w:hAnsi="Times New Roman"/>
          <w:b w:val="0"/>
          <w:i w:val="0"/>
          <w:sz w:val="22"/>
        </w:rPr>
        <w:t>This paper addresses two interconnected questions: (1) How prevalent is commercial software dependency in contemporary published research, and what are the associated costs and barriers to replication? (2) What policies do major software vendors have regarding access to legacy versions and verification-purpose licensing? To answer these questions, we conducted a large-scale empirical study of software mentions in 10,000 published papers and a systematic policy survey of commercial software vendors.</w:t>
      </w:r>
    </w:p>
    <w:p>
      <w:r>
        <w:rPr>
          <w:rFonts w:ascii="Times New Roman" w:hAnsi="Times New Roman"/>
          <w:b w:val="0"/>
          <w:i w:val="0"/>
          <w:sz w:val="22"/>
        </w:rPr>
        <w:t>We identify a "version accessibility gap" — the disconnect between the software versions cited in published research and the versions actually obtainable for replication — as a critical, quantifiable dimension of the reproducibility crisis that has received insufficient attention in the literature [8, 9]. Our findings provide empirical evidence for policy recommendations aimed at closing this gap.</w:t>
      </w:r>
    </w:p>
    <w:p>
      <w:pPr>
        <w:pStyle w:val="Heading1"/>
      </w:pPr>
      <w:r>
        <w:t>2 Methods</w:t>
      </w:r>
    </w:p>
    <w:p>
      <w:pPr>
        <w:pStyle w:val="Heading2"/>
      </w:pPr>
      <w:r>
        <w:t>2.1 Study Design and Sampling Strategy</w:t>
      </w:r>
    </w:p>
    <w:p>
      <w:r>
        <w:rPr>
          <w:rFonts w:ascii="Times New Roman" w:hAnsi="Times New Roman"/>
          <w:b w:val="0"/>
          <w:i w:val="0"/>
          <w:sz w:val="22"/>
        </w:rPr>
        <w:t>We conducted a cross-sectional study of 10,000 papers published between January 2020 and March 2026, identified through PubMed E-utilities API. Eligibility criteria included: (1) publication date from January 1, 2020 onward; (2) English language; (3) journal article publication type (excluding reviews, case reports, and editorials); and (4) presence of an abstract. We employed stratified random sampling across seven research fields defined by Medical Subject Headings (MeSH) categories to ensure representative coverage across disciplines.</w:t>
      </w:r>
    </w:p>
    <w:p>
      <w:r>
        <w:rPr>
          <w:rFonts w:ascii="Times New Roman" w:hAnsi="Times New Roman"/>
          <w:b/>
          <w:i w:val="0"/>
          <w:sz w:val="22"/>
        </w:rPr>
        <w:t>The seven strata were:</w:t>
      </w:r>
    </w:p>
    <w:p>
      <w:pPr>
        <w:pStyle w:val="ListBullet"/>
      </w:pPr>
      <w:r>
        <w:rPr>
          <w:b/>
          <w:sz w:val="20"/>
        </w:rPr>
        <w:t xml:space="preserve">Biomedical Basic: </w:t>
      </w:r>
      <w:r>
        <w:rPr>
          <w:sz w:val="20"/>
        </w:rPr>
        <w:t>Molecular Biology, Genetics, Biochemistry, Cell Biology, Microbiology</w:t>
      </w:r>
    </w:p>
    <w:p>
      <w:pPr>
        <w:pStyle w:val="ListBullet"/>
      </w:pPr>
      <w:r>
        <w:rPr>
          <w:b/>
          <w:sz w:val="20"/>
        </w:rPr>
        <w:t xml:space="preserve">Clinical Medicine: </w:t>
      </w:r>
      <w:r>
        <w:rPr>
          <w:sz w:val="20"/>
        </w:rPr>
        <w:t>Therapeutics, Diagnosis, Clinical Trials, Surgical Procedures</w:t>
      </w:r>
    </w:p>
    <w:p>
      <w:pPr>
        <w:pStyle w:val="ListBullet"/>
      </w:pPr>
      <w:r>
        <w:rPr>
          <w:b/>
          <w:sz w:val="20"/>
        </w:rPr>
        <w:t xml:space="preserve">Chemistry &amp; Materials: </w:t>
      </w:r>
      <w:r>
        <w:rPr>
          <w:sz w:val="20"/>
        </w:rPr>
        <w:t>Chemistry, Materials Science, Nanotechnology, Polymers</w:t>
      </w:r>
    </w:p>
    <w:p>
      <w:pPr>
        <w:pStyle w:val="ListBullet"/>
      </w:pPr>
      <w:r>
        <w:rPr>
          <w:b/>
          <w:sz w:val="20"/>
        </w:rPr>
        <w:t xml:space="preserve">Physics &amp; Engineering: </w:t>
      </w:r>
      <w:r>
        <w:rPr>
          <w:sz w:val="20"/>
        </w:rPr>
        <w:t>Physics, Biomedical Engineering, Signal Processing, 3D Imaging</w:t>
      </w:r>
    </w:p>
    <w:p>
      <w:pPr>
        <w:pStyle w:val="ListBullet"/>
      </w:pPr>
      <w:r>
        <w:rPr>
          <w:b/>
          <w:sz w:val="20"/>
        </w:rPr>
        <w:t xml:space="preserve">Social &amp; Behavioral: </w:t>
      </w:r>
      <w:r>
        <w:rPr>
          <w:sz w:val="20"/>
        </w:rPr>
        <w:t>Psychology, Behavioral Sciences, Sociology, Public Health, Epidemiology</w:t>
      </w:r>
    </w:p>
    <w:p>
      <w:pPr>
        <w:pStyle w:val="ListBullet"/>
      </w:pPr>
      <w:r>
        <w:rPr>
          <w:b/>
          <w:sz w:val="20"/>
        </w:rPr>
        <w:t xml:space="preserve">Computational Science: </w:t>
      </w:r>
      <w:r>
        <w:rPr>
          <w:sz w:val="20"/>
        </w:rPr>
        <w:t>Computational Biology, Artificial Intelligence, Machine Learning, Bioinformatics</w:t>
      </w:r>
    </w:p>
    <w:p>
      <w:pPr>
        <w:pStyle w:val="ListBullet"/>
      </w:pPr>
      <w:r>
        <w:rPr>
          <w:b/>
          <w:sz w:val="20"/>
        </w:rPr>
        <w:t xml:space="preserve">Environmental &amp; Earth: </w:t>
      </w:r>
      <w:r>
        <w:rPr>
          <w:sz w:val="20"/>
        </w:rPr>
        <w:t>Environmental Sciences, Ecology, Climate, Conservation</w:t>
      </w:r>
    </w:p>
    <w:p>
      <w:r>
        <w:rPr>
          <w:rFonts w:ascii="Times New Roman" w:hAnsi="Times New Roman"/>
          <w:b w:val="0"/>
          <w:i w:val="0"/>
          <w:sz w:val="22"/>
        </w:rPr>
        <w:t>Approximately 1428 papers were sampled from each stratum, yielding a total of 10,000 papers. To address PubMed's retstart limitation (maximum offset of 9,999), we implemented a year-split sampling strategy, dividing queries by publication year (2020–2025) and sampling proportionally from each year's result set.</w:t>
      </w:r>
    </w:p>
    <w:p>
      <w:pPr>
        <w:pStyle w:val="Heading2"/>
      </w:pPr>
      <w:r>
        <w:t>2.2 Software Detection and Data Extraction</w:t>
      </w:r>
    </w:p>
    <w:p>
      <w:r>
        <w:rPr>
          <w:rFonts w:ascii="Times New Roman" w:hAnsi="Times New Roman"/>
          <w:b w:val="0"/>
          <w:i w:val="0"/>
          <w:sz w:val="22"/>
        </w:rPr>
        <w:t>For each sampled paper, we extracted bibliographic metadata (PMID, title, journal, DOI, publication date, MeSH terms, author affiliations, and funding information) from PubMed XML records. Software mentions were detected using a curated set of 95+ regular expression patterns covering 45 commercial and 50 open-source software tools commonly used in research. Detection was performed on both abstracts (available for all papers) and Methods sections from PubMed Central (PMC) full-text XML (available for a subset of papers).</w:t>
      </w:r>
    </w:p>
    <w:p>
      <w:r>
        <w:rPr>
          <w:rFonts w:ascii="Times New Roman" w:hAnsi="Times New Roman"/>
          <w:b w:val="0"/>
          <w:i w:val="0"/>
          <w:sz w:val="22"/>
        </w:rPr>
        <w:t>For each detected software tool, we extracted: (1) software name and license type (commercial or open-source); (2) version number, when mentioned within 80 characters of the software name; (3) current availability status of the cited version, based on our vendor policy database; and (4) estimated replication cost, based on current standard license prices.</w:t>
      </w:r>
    </w:p>
    <w:p>
      <w:r>
        <w:rPr>
          <w:rFonts w:ascii="Times New Roman" w:hAnsi="Times New Roman"/>
          <w:b w:val="0"/>
          <w:i w:val="0"/>
          <w:sz w:val="22"/>
        </w:rPr>
        <w:t>Additional extraction included code availability statements (detected via patterns for GitHub/GitLab URLs and "code available" phrases), data availability statements (detected via patterns for repositories and "data available" phrases), and reproducibility-related language.</w:t>
      </w:r>
    </w:p>
    <w:p>
      <w:pPr>
        <w:pStyle w:val="Heading2"/>
      </w:pPr>
      <w:r>
        <w:t>2.3 Vendor Policy Survey</w:t>
      </w:r>
    </w:p>
    <w:p>
      <w:r>
        <w:rPr>
          <w:rFonts w:ascii="Times New Roman" w:hAnsi="Times New Roman"/>
          <w:b w:val="0"/>
          <w:i w:val="0"/>
          <w:sz w:val="22"/>
        </w:rPr>
        <w:t>We conducted a systematic survey of legacy version access policies for the 30 most commonly used commercial software tools in research. For each vendor, we documented: (1) whether legacy versions can be downloaded; (2) conditions for legacy version access; (3) whether current licenses can activate legacy versions; (4) availability of free or reduced-cost access for verification purposes; and (5) any explicit provisions for research reproducibility.</w:t>
      </w:r>
    </w:p>
    <w:p>
      <w:r>
        <w:rPr>
          <w:rFonts w:ascii="Times New Roman" w:hAnsi="Times New Roman"/>
          <w:b w:val="0"/>
          <w:i w:val="0"/>
          <w:sz w:val="22"/>
        </w:rPr>
        <w:t>Information was gathered from official vendor websites, licensing documentation, support forums, and direct inquiries where necessary. The survey was conducted between January and March 2026.</w:t>
      </w:r>
    </w:p>
    <w:p>
      <w:pPr>
        <w:pStyle w:val="Heading2"/>
      </w:pPr>
      <w:r>
        <w:t>2.4 Statistical Analysis</w:t>
      </w:r>
    </w:p>
    <w:p>
      <w:r>
        <w:rPr>
          <w:rFonts w:ascii="Times New Roman" w:hAnsi="Times New Roman"/>
          <w:b w:val="0"/>
          <w:i w:val="0"/>
          <w:sz w:val="22"/>
        </w:rPr>
        <w:t>Descriptive statistics were computed for all extracted variables. Software detection rates, version mention rates, code/data availability rates, and replication costs were compared across strata. The impact of PMC full-text availability on software detection was assessed by comparing detection rates between papers with and without full-text access. All analyses were performed using Python 3.12 with pandas, and visualizations were created using matplotlib and seaborn.</w:t>
      </w:r>
    </w:p>
    <w:p>
      <w:pPr>
        <w:pStyle w:val="Heading1"/>
      </w:pPr>
      <w:r>
        <w:t>3 Results</w:t>
      </w:r>
    </w:p>
    <w:p>
      <w:pPr>
        <w:pStyle w:val="Heading2"/>
      </w:pPr>
      <w:r>
        <w:t>3.1 Sampling and Coverage</w:t>
      </w:r>
    </w:p>
    <w:p>
      <w:r>
        <w:rPr>
          <w:rFonts w:ascii="Times New Roman" w:hAnsi="Times New Roman"/>
          <w:b w:val="0"/>
          <w:i w:val="0"/>
          <w:sz w:val="22"/>
        </w:rPr>
        <w:t>A total of 10,000 papers were successfully sampled across the seven strata. Table 1 presents the stratum-level statistics.</w:t>
      </w:r>
    </w:p>
    <w:p>
      <w:r>
        <w:rPr>
          <w:rFonts w:ascii="Times New Roman" w:hAnsi="Times New Roman"/>
          <w:b/>
          <w:i w:val="0"/>
          <w:sz w:val="20"/>
        </w:rPr>
        <w:t>Table 1 Stratum-level sampling statistics and key indicators.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Research Field</w:t>
            </w:r>
          </w:p>
        </w:tc>
        <w:tc>
          <w:tcPr>
            <w:tcW w:type="dxa" w:w="1234"/>
          </w:tcPr>
          <w:p>
            <w:r>
              <w:rPr>
                <w:b/>
                <w:sz w:val="18"/>
              </w:rPr>
              <w:t>N</w:t>
            </w:r>
          </w:p>
        </w:tc>
        <w:tc>
          <w:tcPr>
            <w:tcW w:type="dxa" w:w="1234"/>
          </w:tcPr>
          <w:p>
            <w:r>
              <w:rPr>
                <w:b/>
                <w:sz w:val="18"/>
              </w:rPr>
              <w:t>SW Detection</w:t>
            </w:r>
          </w:p>
        </w:tc>
        <w:tc>
          <w:tcPr>
            <w:tcW w:type="dxa" w:w="1234"/>
          </w:tcPr>
          <w:p>
            <w:r>
              <w:rPr>
                <w:b/>
                <w:sz w:val="18"/>
              </w:rPr>
              <w:t>Commercial</w:t>
            </w:r>
          </w:p>
        </w:tc>
        <w:tc>
          <w:tcPr>
            <w:tcW w:type="dxa" w:w="1234"/>
          </w:tcPr>
          <w:p>
            <w:r>
              <w:rPr>
                <w:b/>
                <w:sz w:val="18"/>
              </w:rPr>
              <w:t>Version Rate</w:t>
            </w:r>
          </w:p>
        </w:tc>
        <w:tc>
          <w:tcPr>
            <w:tcW w:type="dxa" w:w="1234"/>
          </w:tcPr>
          <w:p>
            <w:r>
              <w:rPr>
                <w:b/>
                <w:sz w:val="18"/>
              </w:rPr>
              <w:t>Code Avail.</w:t>
            </w:r>
          </w:p>
        </w:tc>
        <w:tc>
          <w:tcPr>
            <w:tcW w:type="dxa" w:w="1234"/>
          </w:tcPr>
          <w:p>
            <w:r>
              <w:rPr>
                <w:b/>
                <w:sz w:val="18"/>
              </w:rPr>
              <w:t>Mean Cost</w:t>
            </w:r>
          </w:p>
        </w:tc>
      </w:tr>
      <w:tr>
        <w:tc>
          <w:tcPr>
            <w:tcW w:type="dxa" w:w="1234"/>
          </w:tcPr>
          <w:p>
            <w:r>
              <w:rPr>
                <w:sz w:val="18"/>
              </w:rPr>
              <w:t>Biomedical Basic</w:t>
            </w:r>
          </w:p>
        </w:tc>
        <w:tc>
          <w:tcPr>
            <w:tcW w:type="dxa" w:w="1234"/>
          </w:tcPr>
          <w:p>
            <w:r>
              <w:rPr>
                <w:sz w:val="18"/>
              </w:rPr>
              <w:t>1429</w:t>
            </w:r>
          </w:p>
        </w:tc>
        <w:tc>
          <w:tcPr>
            <w:tcW w:type="dxa" w:w="1234"/>
          </w:tcPr>
          <w:p>
            <w:r>
              <w:rPr>
                <w:sz w:val="18"/>
              </w:rPr>
              <w:t>40.3%</w:t>
            </w:r>
          </w:p>
        </w:tc>
        <w:tc>
          <w:tcPr>
            <w:tcW w:type="dxa" w:w="1234"/>
          </w:tcPr>
          <w:p>
            <w:r>
              <w:rPr>
                <w:sz w:val="18"/>
              </w:rPr>
              <w:t>20.6%</w:t>
            </w:r>
          </w:p>
        </w:tc>
        <w:tc>
          <w:tcPr>
            <w:tcW w:type="dxa" w:w="1234"/>
          </w:tcPr>
          <w:p>
            <w:r>
              <w:rPr>
                <w:sz w:val="18"/>
              </w:rPr>
              <w:t>22.4%</w:t>
            </w:r>
          </w:p>
        </w:tc>
        <w:tc>
          <w:tcPr>
            <w:tcW w:type="dxa" w:w="1234"/>
          </w:tcPr>
          <w:p>
            <w:r>
              <w:rPr>
                <w:sz w:val="18"/>
              </w:rPr>
              <w:t>10.5%</w:t>
            </w:r>
          </w:p>
        </w:tc>
        <w:tc>
          <w:tcPr>
            <w:tcW w:type="dxa" w:w="1234"/>
          </w:tcPr>
          <w:p>
            <w:r>
              <w:rPr>
                <w:sz w:val="18"/>
              </w:rPr>
              <w:t>$352</w:t>
            </w:r>
          </w:p>
        </w:tc>
      </w:tr>
      <w:tr>
        <w:tc>
          <w:tcPr>
            <w:tcW w:type="dxa" w:w="1234"/>
          </w:tcPr>
          <w:p>
            <w:r>
              <w:rPr>
                <w:sz w:val="18"/>
              </w:rPr>
              <w:t>Clinical Medicine</w:t>
            </w:r>
          </w:p>
        </w:tc>
        <w:tc>
          <w:tcPr>
            <w:tcW w:type="dxa" w:w="1234"/>
          </w:tcPr>
          <w:p>
            <w:r>
              <w:rPr>
                <w:sz w:val="18"/>
              </w:rPr>
              <w:t>1429</w:t>
            </w:r>
          </w:p>
        </w:tc>
        <w:tc>
          <w:tcPr>
            <w:tcW w:type="dxa" w:w="1234"/>
          </w:tcPr>
          <w:p>
            <w:r>
              <w:rPr>
                <w:sz w:val="18"/>
              </w:rPr>
              <w:t>32.1%</w:t>
            </w:r>
          </w:p>
        </w:tc>
        <w:tc>
          <w:tcPr>
            <w:tcW w:type="dxa" w:w="1234"/>
          </w:tcPr>
          <w:p>
            <w:r>
              <w:rPr>
                <w:sz w:val="18"/>
              </w:rPr>
              <w:t>26.2%</w:t>
            </w:r>
          </w:p>
        </w:tc>
        <w:tc>
          <w:tcPr>
            <w:tcW w:type="dxa" w:w="1234"/>
          </w:tcPr>
          <w:p>
            <w:r>
              <w:rPr>
                <w:sz w:val="18"/>
              </w:rPr>
              <w:t>22.3%</w:t>
            </w:r>
          </w:p>
        </w:tc>
        <w:tc>
          <w:tcPr>
            <w:tcW w:type="dxa" w:w="1234"/>
          </w:tcPr>
          <w:p>
            <w:r>
              <w:rPr>
                <w:sz w:val="18"/>
              </w:rPr>
              <w:t>2.4%</w:t>
            </w:r>
          </w:p>
        </w:tc>
        <w:tc>
          <w:tcPr>
            <w:tcW w:type="dxa" w:w="1234"/>
          </w:tcPr>
          <w:p>
            <w:r>
              <w:rPr>
                <w:sz w:val="18"/>
              </w:rPr>
              <w:t>$487</w:t>
            </w:r>
          </w:p>
        </w:tc>
      </w:tr>
      <w:tr>
        <w:tc>
          <w:tcPr>
            <w:tcW w:type="dxa" w:w="1234"/>
          </w:tcPr>
          <w:p>
            <w:r>
              <w:rPr>
                <w:sz w:val="18"/>
              </w:rPr>
              <w:t>Chemistry Materials</w:t>
            </w:r>
          </w:p>
        </w:tc>
        <w:tc>
          <w:tcPr>
            <w:tcW w:type="dxa" w:w="1234"/>
          </w:tcPr>
          <w:p>
            <w:r>
              <w:rPr>
                <w:sz w:val="18"/>
              </w:rPr>
              <w:t>1429</w:t>
            </w:r>
          </w:p>
        </w:tc>
        <w:tc>
          <w:tcPr>
            <w:tcW w:type="dxa" w:w="1234"/>
          </w:tcPr>
          <w:p>
            <w:r>
              <w:rPr>
                <w:sz w:val="18"/>
              </w:rPr>
              <w:t>23.7%</w:t>
            </w:r>
          </w:p>
        </w:tc>
        <w:tc>
          <w:tcPr>
            <w:tcW w:type="dxa" w:w="1234"/>
          </w:tcPr>
          <w:p>
            <w:r>
              <w:rPr>
                <w:sz w:val="18"/>
              </w:rPr>
              <w:t>17.3%</w:t>
            </w:r>
          </w:p>
        </w:tc>
        <w:tc>
          <w:tcPr>
            <w:tcW w:type="dxa" w:w="1234"/>
          </w:tcPr>
          <w:p>
            <w:r>
              <w:rPr>
                <w:sz w:val="18"/>
              </w:rPr>
              <w:t>12.2%</w:t>
            </w:r>
          </w:p>
        </w:tc>
        <w:tc>
          <w:tcPr>
            <w:tcW w:type="dxa" w:w="1234"/>
          </w:tcPr>
          <w:p>
            <w:r>
              <w:rPr>
                <w:sz w:val="18"/>
              </w:rPr>
              <w:t>2.2%</w:t>
            </w:r>
          </w:p>
        </w:tc>
        <w:tc>
          <w:tcPr>
            <w:tcW w:type="dxa" w:w="1234"/>
          </w:tcPr>
          <w:p>
            <w:r>
              <w:rPr>
                <w:sz w:val="18"/>
              </w:rPr>
              <w:t>$261</w:t>
            </w:r>
          </w:p>
        </w:tc>
      </w:tr>
      <w:tr>
        <w:tc>
          <w:tcPr>
            <w:tcW w:type="dxa" w:w="1234"/>
          </w:tcPr>
          <w:p>
            <w:r>
              <w:rPr>
                <w:sz w:val="18"/>
              </w:rPr>
              <w:t>Physics Engineering</w:t>
            </w:r>
          </w:p>
        </w:tc>
        <w:tc>
          <w:tcPr>
            <w:tcW w:type="dxa" w:w="1234"/>
          </w:tcPr>
          <w:p>
            <w:r>
              <w:rPr>
                <w:sz w:val="18"/>
              </w:rPr>
              <w:t>1429</w:t>
            </w:r>
          </w:p>
        </w:tc>
        <w:tc>
          <w:tcPr>
            <w:tcW w:type="dxa" w:w="1234"/>
          </w:tcPr>
          <w:p>
            <w:r>
              <w:rPr>
                <w:sz w:val="18"/>
              </w:rPr>
              <w:t>22.0%</w:t>
            </w:r>
          </w:p>
        </w:tc>
        <w:tc>
          <w:tcPr>
            <w:tcW w:type="dxa" w:w="1234"/>
          </w:tcPr>
          <w:p>
            <w:r>
              <w:rPr>
                <w:sz w:val="18"/>
              </w:rPr>
              <w:t>16.7%</w:t>
            </w:r>
          </w:p>
        </w:tc>
        <w:tc>
          <w:tcPr>
            <w:tcW w:type="dxa" w:w="1234"/>
          </w:tcPr>
          <w:p>
            <w:r>
              <w:rPr>
                <w:sz w:val="18"/>
              </w:rPr>
              <w:t>8.7%</w:t>
            </w:r>
          </w:p>
        </w:tc>
        <w:tc>
          <w:tcPr>
            <w:tcW w:type="dxa" w:w="1234"/>
          </w:tcPr>
          <w:p>
            <w:r>
              <w:rPr>
                <w:sz w:val="18"/>
              </w:rPr>
              <w:t>5.2%</w:t>
            </w:r>
          </w:p>
        </w:tc>
        <w:tc>
          <w:tcPr>
            <w:tcW w:type="dxa" w:w="1234"/>
          </w:tcPr>
          <w:p>
            <w:r>
              <w:rPr>
                <w:sz w:val="18"/>
              </w:rPr>
              <w:t>$406</w:t>
            </w:r>
          </w:p>
        </w:tc>
      </w:tr>
      <w:tr>
        <w:tc>
          <w:tcPr>
            <w:tcW w:type="dxa" w:w="1234"/>
          </w:tcPr>
          <w:p>
            <w:r>
              <w:rPr>
                <w:sz w:val="18"/>
              </w:rPr>
              <w:t>Social Behavioral</w:t>
            </w:r>
          </w:p>
        </w:tc>
        <w:tc>
          <w:tcPr>
            <w:tcW w:type="dxa" w:w="1234"/>
          </w:tcPr>
          <w:p>
            <w:r>
              <w:rPr>
                <w:sz w:val="18"/>
              </w:rPr>
              <w:t>1429</w:t>
            </w:r>
          </w:p>
        </w:tc>
        <w:tc>
          <w:tcPr>
            <w:tcW w:type="dxa" w:w="1234"/>
          </w:tcPr>
          <w:p>
            <w:r>
              <w:rPr>
                <w:sz w:val="18"/>
              </w:rPr>
              <w:t>30.3%</w:t>
            </w:r>
          </w:p>
        </w:tc>
        <w:tc>
          <w:tcPr>
            <w:tcW w:type="dxa" w:w="1234"/>
          </w:tcPr>
          <w:p>
            <w:r>
              <w:rPr>
                <w:sz w:val="18"/>
              </w:rPr>
              <w:t>25.1%</w:t>
            </w:r>
          </w:p>
        </w:tc>
        <w:tc>
          <w:tcPr>
            <w:tcW w:type="dxa" w:w="1234"/>
          </w:tcPr>
          <w:p>
            <w:r>
              <w:rPr>
                <w:sz w:val="18"/>
              </w:rPr>
              <w:t>22.3%</w:t>
            </w:r>
          </w:p>
        </w:tc>
        <w:tc>
          <w:tcPr>
            <w:tcW w:type="dxa" w:w="1234"/>
          </w:tcPr>
          <w:p>
            <w:r>
              <w:rPr>
                <w:sz w:val="18"/>
              </w:rPr>
              <w:t>1.3%</w:t>
            </w:r>
          </w:p>
        </w:tc>
        <w:tc>
          <w:tcPr>
            <w:tcW w:type="dxa" w:w="1234"/>
          </w:tcPr>
          <w:p>
            <w:r>
              <w:rPr>
                <w:sz w:val="18"/>
              </w:rPr>
              <w:t>$450</w:t>
            </w:r>
          </w:p>
        </w:tc>
      </w:tr>
      <w:tr>
        <w:tc>
          <w:tcPr>
            <w:tcW w:type="dxa" w:w="1234"/>
          </w:tcPr>
          <w:p>
            <w:r>
              <w:rPr>
                <w:sz w:val="18"/>
              </w:rPr>
              <w:t>Computational Science</w:t>
            </w:r>
          </w:p>
        </w:tc>
        <w:tc>
          <w:tcPr>
            <w:tcW w:type="dxa" w:w="1234"/>
          </w:tcPr>
          <w:p>
            <w:r>
              <w:rPr>
                <w:sz w:val="18"/>
              </w:rPr>
              <w:t>1429</w:t>
            </w:r>
          </w:p>
        </w:tc>
        <w:tc>
          <w:tcPr>
            <w:tcW w:type="dxa" w:w="1234"/>
          </w:tcPr>
          <w:p>
            <w:r>
              <w:rPr>
                <w:sz w:val="18"/>
              </w:rPr>
              <w:t>37.4%</w:t>
            </w:r>
          </w:p>
        </w:tc>
        <w:tc>
          <w:tcPr>
            <w:tcW w:type="dxa" w:w="1234"/>
          </w:tcPr>
          <w:p>
            <w:r>
              <w:rPr>
                <w:sz w:val="18"/>
              </w:rPr>
              <w:t>15.3%</w:t>
            </w:r>
          </w:p>
        </w:tc>
        <w:tc>
          <w:tcPr>
            <w:tcW w:type="dxa" w:w="1234"/>
          </w:tcPr>
          <w:p>
            <w:r>
              <w:rPr>
                <w:sz w:val="18"/>
              </w:rPr>
              <w:t>19.2%</w:t>
            </w:r>
          </w:p>
        </w:tc>
        <w:tc>
          <w:tcPr>
            <w:tcW w:type="dxa" w:w="1234"/>
          </w:tcPr>
          <w:p>
            <w:r>
              <w:rPr>
                <w:sz w:val="18"/>
              </w:rPr>
              <w:t>12.6%</w:t>
            </w:r>
          </w:p>
        </w:tc>
        <w:tc>
          <w:tcPr>
            <w:tcW w:type="dxa" w:w="1234"/>
          </w:tcPr>
          <w:p>
            <w:r>
              <w:rPr>
                <w:sz w:val="18"/>
              </w:rPr>
              <w:t>$275</w:t>
            </w:r>
          </w:p>
        </w:tc>
      </w:tr>
      <w:tr>
        <w:tc>
          <w:tcPr>
            <w:tcW w:type="dxa" w:w="1234"/>
          </w:tcPr>
          <w:p>
            <w:r>
              <w:rPr>
                <w:sz w:val="18"/>
              </w:rPr>
              <w:t>Environmental Earth</w:t>
            </w:r>
          </w:p>
        </w:tc>
        <w:tc>
          <w:tcPr>
            <w:tcW w:type="dxa" w:w="1234"/>
          </w:tcPr>
          <w:p>
            <w:r>
              <w:rPr>
                <w:sz w:val="18"/>
              </w:rPr>
              <w:t>1426</w:t>
            </w:r>
          </w:p>
        </w:tc>
        <w:tc>
          <w:tcPr>
            <w:tcW w:type="dxa" w:w="1234"/>
          </w:tcPr>
          <w:p>
            <w:r>
              <w:rPr>
                <w:sz w:val="18"/>
              </w:rPr>
              <w:t>18.7%</w:t>
            </w:r>
          </w:p>
        </w:tc>
        <w:tc>
          <w:tcPr>
            <w:tcW w:type="dxa" w:w="1234"/>
          </w:tcPr>
          <w:p>
            <w:r>
              <w:rPr>
                <w:sz w:val="18"/>
              </w:rPr>
              <w:t>8.6%</w:t>
            </w:r>
          </w:p>
        </w:tc>
        <w:tc>
          <w:tcPr>
            <w:tcW w:type="dxa" w:w="1234"/>
          </w:tcPr>
          <w:p>
            <w:r>
              <w:rPr>
                <w:sz w:val="18"/>
              </w:rPr>
              <w:t>12.2%</w:t>
            </w:r>
          </w:p>
        </w:tc>
        <w:tc>
          <w:tcPr>
            <w:tcW w:type="dxa" w:w="1234"/>
          </w:tcPr>
          <w:p>
            <w:r>
              <w:rPr>
                <w:sz w:val="18"/>
              </w:rPr>
              <w:t>2.8%</w:t>
            </w:r>
          </w:p>
        </w:tc>
        <w:tc>
          <w:tcPr>
            <w:tcW w:type="dxa" w:w="1234"/>
          </w:tcPr>
          <w:p>
            <w:r>
              <w:rPr>
                <w:sz w:val="18"/>
              </w:rPr>
              <w:t>$152</w:t>
            </w:r>
          </w:p>
        </w:tc>
      </w:tr>
    </w:tbl>
    <w:p>
      <w:pPr>
        <w:pStyle w:val="Heading2"/>
      </w:pPr>
      <w:r>
        <w:t>3.2 Prevalence of Software Dependency</w:t>
      </w:r>
    </w:p>
    <w:p>
      <w:r>
        <w:rPr>
          <w:rFonts w:ascii="Times New Roman" w:hAnsi="Times New Roman"/>
          <w:b w:val="0"/>
          <w:i w:val="0"/>
          <w:sz w:val="22"/>
        </w:rPr>
        <w:t>Software tools were detected in 2,922 of 10,000 papers (29.2%). The mean number of software tools per paper was 0.51. Commercial software was identified in 1,853 papers (18.5%), while open-source software was found in 1,653 papers (16.5%). Software detection rates varied substantially across fields (Fig. 1), with Computational Science (37.4%) and Biomedical Basic (40.3%) showing the highest rates, and Environmental &amp; Earth (18.7%) and Chemistry &amp; Materials (23.7%) the lowest.</w:t>
      </w:r>
    </w:p>
    <w:p>
      <w:pPr>
        <w:jc w:val="center"/>
      </w:pPr>
      <w:r>
        <w:drawing>
          <wp:inline xmlns:a="http://schemas.openxmlformats.org/drawingml/2006/main" xmlns:pic="http://schemas.openxmlformats.org/drawingml/2006/picture">
            <wp:extent cx="5029200" cy="2472702"/>
            <wp:docPr id="1" name="Picture 1"/>
            <wp:cNvGraphicFramePr>
              <a:graphicFrameLocks noChangeAspect="1"/>
            </wp:cNvGraphicFramePr>
            <a:graphic>
              <a:graphicData uri="http://schemas.openxmlformats.org/drawingml/2006/picture">
                <pic:pic>
                  <pic:nvPicPr>
                    <pic:cNvPr id="0" name="fig1_software_rates_by_field.png"/>
                    <pic:cNvPicPr/>
                  </pic:nvPicPr>
                  <pic:blipFill>
                    <a:blip r:embed="rId9"/>
                    <a:stretch>
                      <a:fillRect/>
                    </a:stretch>
                  </pic:blipFill>
                  <pic:spPr>
                    <a:xfrm>
                      <a:off x="0" y="0"/>
                      <a:ext cx="5029200" cy="2472702"/>
                    </a:xfrm>
                    <a:prstGeom prst="rect"/>
                  </pic:spPr>
                </pic:pic>
              </a:graphicData>
            </a:graphic>
          </wp:inline>
        </w:drawing>
      </w:r>
    </w:p>
    <w:p>
      <w:pPr>
        <w:jc w:val="center"/>
      </w:pPr>
      <w:r>
        <w:rPr>
          <w:rFonts w:ascii="Times New Roman" w:hAnsi="Times New Roman"/>
          <w:i w:val="0"/>
          <w:sz w:val="18"/>
        </w:rPr>
        <w:t>Fig. 1 Software mention rates by research field, stratified by software type (any software, commercial only, open-source only). N = 10,000 papers.</w:t>
      </w:r>
    </w:p>
    <w:p>
      <w:pPr>
        <w:pStyle w:val="Heading2"/>
      </w:pPr>
      <w:r>
        <w:t>3.3 Commercial Software Landscape</w:t>
      </w:r>
    </w:p>
    <w:p>
      <w:r>
        <w:rPr>
          <w:rFonts w:ascii="Times New Roman" w:hAnsi="Times New Roman"/>
          <w:b w:val="0"/>
          <w:i w:val="0"/>
          <w:sz w:val="22"/>
        </w:rPr>
        <w:t>The five most frequently cited commercial software tools were SPSS (n = 807, 8.1%), GraphPad Prism (n = 410, 4.1%), MATLAB (n = 170, 1.7%), Microsoft Excel (n = 152, 1.5%), and Stata (n = 101, 1.0%) (Fig. 2). Among open-source tools, R dominated (n = 890), followed by Cytoscape (n = 140), ImageJ (n = 232), ggplot2 (n = 165), and Python (n = 167).</w:t>
      </w:r>
    </w:p>
    <w:p>
      <w:pPr>
        <w:jc w:val="center"/>
      </w:pPr>
      <w:r>
        <w:drawing>
          <wp:inline xmlns:a="http://schemas.openxmlformats.org/drawingml/2006/main" xmlns:pic="http://schemas.openxmlformats.org/drawingml/2006/picture">
            <wp:extent cx="5029200" cy="4003182"/>
            <wp:docPr id="2" name="Picture 2"/>
            <wp:cNvGraphicFramePr>
              <a:graphicFrameLocks noChangeAspect="1"/>
            </wp:cNvGraphicFramePr>
            <a:graphic>
              <a:graphicData uri="http://schemas.openxmlformats.org/drawingml/2006/picture">
                <pic:pic>
                  <pic:nvPicPr>
                    <pic:cNvPr id="0" name="fig5_software_landscape.png"/>
                    <pic:cNvPicPr/>
                  </pic:nvPicPr>
                  <pic:blipFill>
                    <a:blip r:embed="rId10"/>
                    <a:stretch>
                      <a:fillRect/>
                    </a:stretch>
                  </pic:blipFill>
                  <pic:spPr>
                    <a:xfrm>
                      <a:off x="0" y="0"/>
                      <a:ext cx="5029200" cy="4003182"/>
                    </a:xfrm>
                    <a:prstGeom prst="rect"/>
                  </pic:spPr>
                </pic:pic>
              </a:graphicData>
            </a:graphic>
          </wp:inline>
        </w:drawing>
      </w:r>
    </w:p>
    <w:p>
      <w:pPr>
        <w:jc w:val="center"/>
      </w:pPr>
      <w:r>
        <w:rPr>
          <w:rFonts w:ascii="Times New Roman" w:hAnsi="Times New Roman"/>
          <w:i w:val="0"/>
          <w:sz w:val="18"/>
        </w:rPr>
        <w:t>Fig. 2 Top 20 software tools in published research (N = 10,000), colored by license type (red = commercial, green = open-source).</w:t>
      </w:r>
    </w:p>
    <w:p>
      <w:r>
        <w:rPr>
          <w:rFonts w:ascii="Times New Roman" w:hAnsi="Times New Roman"/>
          <w:b w:val="0"/>
          <w:i w:val="0"/>
          <w:sz w:val="22"/>
        </w:rPr>
        <w:t>Software usage patterns showed strong field-specific preferences (Fig. 3). SPSS dominated in Clinical Medicine and Social &amp; Behavioral sciences, R in Computational Science, and specialized tools (e.g., Gaussian, VASP) in their respective domains.</w:t>
      </w:r>
    </w:p>
    <w:p>
      <w:pPr>
        <w:jc w:val="center"/>
      </w:pPr>
      <w:r>
        <w:drawing>
          <wp:inline xmlns:a="http://schemas.openxmlformats.org/drawingml/2006/main" xmlns:pic="http://schemas.openxmlformats.org/drawingml/2006/picture">
            <wp:extent cx="5029200" cy="3004941"/>
            <wp:docPr id="3" name="Picture 3"/>
            <wp:cNvGraphicFramePr>
              <a:graphicFrameLocks noChangeAspect="1"/>
            </wp:cNvGraphicFramePr>
            <a:graphic>
              <a:graphicData uri="http://schemas.openxmlformats.org/drawingml/2006/picture">
                <pic:pic>
                  <pic:nvPicPr>
                    <pic:cNvPr id="0" name="fig7_software_heatmap.png"/>
                    <pic:cNvPicPr/>
                  </pic:nvPicPr>
                  <pic:blipFill>
                    <a:blip r:embed="rId11"/>
                    <a:stretch>
                      <a:fillRect/>
                    </a:stretch>
                  </pic:blipFill>
                  <pic:spPr>
                    <a:xfrm>
                      <a:off x="0" y="0"/>
                      <a:ext cx="5029200" cy="3004941"/>
                    </a:xfrm>
                    <a:prstGeom prst="rect"/>
                  </pic:spPr>
                </pic:pic>
              </a:graphicData>
            </a:graphic>
          </wp:inline>
        </w:drawing>
      </w:r>
    </w:p>
    <w:p>
      <w:pPr>
        <w:jc w:val="center"/>
      </w:pPr>
      <w:r>
        <w:rPr>
          <w:rFonts w:ascii="Times New Roman" w:hAnsi="Times New Roman"/>
          <w:i w:val="0"/>
          <w:sz w:val="18"/>
        </w:rPr>
        <w:t>Fig. 3 Heatmap of top 15 software tools across seven research fields, showing field-specific software usage patterns.</w:t>
      </w:r>
    </w:p>
    <w:p>
      <w:pPr>
        <w:pStyle w:val="Heading2"/>
      </w:pPr>
      <w:r>
        <w:t>3.4 Version Reporting Practices</w:t>
      </w:r>
    </w:p>
    <w:p>
      <w:r>
        <w:rPr>
          <w:rFonts w:ascii="Times New Roman" w:hAnsi="Times New Roman"/>
          <w:b w:val="0"/>
          <w:i w:val="0"/>
          <w:sz w:val="22"/>
        </w:rPr>
        <w:t>Version numbers were reported for at least one software tool in 2,015 papers (20.2%). Among papers mentioning software, the mean proportion of software with associated version numbers was 17.0%. Version reporting practices varied markedly by field (Fig. 4a): Social &amp; Behavioral sciences showed the highest rate, while Physics &amp; Engineering had the lowest.</w:t>
      </w:r>
    </w:p>
    <w:p>
      <w:pPr>
        <w:jc w:val="center"/>
      </w:pPr>
      <w:r>
        <w:drawing>
          <wp:inline xmlns:a="http://schemas.openxmlformats.org/drawingml/2006/main" xmlns:pic="http://schemas.openxmlformats.org/drawingml/2006/picture">
            <wp:extent cx="5029200" cy="2229802"/>
            <wp:docPr id="4" name="Picture 4"/>
            <wp:cNvGraphicFramePr>
              <a:graphicFrameLocks noChangeAspect="1"/>
            </wp:cNvGraphicFramePr>
            <a:graphic>
              <a:graphicData uri="http://schemas.openxmlformats.org/drawingml/2006/picture">
                <pic:pic>
                  <pic:nvPicPr>
                    <pic:cNvPr id="0" name="fig3_version_and_availability.png"/>
                    <pic:cNvPicPr/>
                  </pic:nvPicPr>
                  <pic:blipFill>
                    <a:blip r:embed="rId12"/>
                    <a:stretch>
                      <a:fillRect/>
                    </a:stretch>
                  </pic:blipFill>
                  <pic:spPr>
                    <a:xfrm>
                      <a:off x="0" y="0"/>
                      <a:ext cx="5029200" cy="2229802"/>
                    </a:xfrm>
                    <a:prstGeom prst="rect"/>
                  </pic:spPr>
                </pic:pic>
              </a:graphicData>
            </a:graphic>
          </wp:inline>
        </w:drawing>
      </w:r>
    </w:p>
    <w:p>
      <w:pPr>
        <w:jc w:val="center"/>
      </w:pPr>
      <w:r>
        <w:rPr>
          <w:rFonts w:ascii="Times New Roman" w:hAnsi="Times New Roman"/>
          <w:i w:val="0"/>
          <w:sz w:val="18"/>
        </w:rPr>
        <w:t>Fig. 4 (a) Version mention rates among papers citing software, and (b) code and data availability statement rates, by research field.</w:t>
      </w:r>
    </w:p>
    <w:p>
      <w:pPr>
        <w:pStyle w:val="Heading2"/>
      </w:pPr>
      <w:r>
        <w:t>3.5 Version Availability Assessment</w:t>
      </w:r>
    </w:p>
    <w:p>
      <w:r>
        <w:rPr>
          <w:rFonts w:ascii="Times New Roman" w:hAnsi="Times New Roman"/>
          <w:b w:val="0"/>
          <w:i w:val="0"/>
          <w:sz w:val="22"/>
        </w:rPr>
        <w:t>For commercial software citations that included version numbers, we assessed whether those specific versions are currently obtainable (Fig. 5). The majority of cited versions were classified as "likely unavailable" — meaning the vendor does not offer legacy version access, and only the current version is available for purchase or subscription. This finding quantifies the "version accessibility gap": even when researchers diligently report which software version they used, replication may be impossible because that version cannot be obtained.</w:t>
      </w:r>
    </w:p>
    <w:p>
      <w:pPr>
        <w:jc w:val="center"/>
      </w:pPr>
      <w:r>
        <w:drawing>
          <wp:inline xmlns:a="http://schemas.openxmlformats.org/drawingml/2006/main" xmlns:pic="http://schemas.openxmlformats.org/drawingml/2006/picture">
            <wp:extent cx="5029200" cy="3777144"/>
            <wp:docPr id="5" name="Picture 5"/>
            <wp:cNvGraphicFramePr>
              <a:graphicFrameLocks noChangeAspect="1"/>
            </wp:cNvGraphicFramePr>
            <a:graphic>
              <a:graphicData uri="http://schemas.openxmlformats.org/drawingml/2006/picture">
                <pic:pic>
                  <pic:nvPicPr>
                    <pic:cNvPr id="0" name="fig6_version_availability.png"/>
                    <pic:cNvPicPr/>
                  </pic:nvPicPr>
                  <pic:blipFill>
                    <a:blip r:embed="rId13"/>
                    <a:stretch>
                      <a:fillRect/>
                    </a:stretch>
                  </pic:blipFill>
                  <pic:spPr>
                    <a:xfrm>
                      <a:off x="0" y="0"/>
                      <a:ext cx="5029200" cy="3777144"/>
                    </a:xfrm>
                    <a:prstGeom prst="rect"/>
                  </pic:spPr>
                </pic:pic>
              </a:graphicData>
            </a:graphic>
          </wp:inline>
        </w:drawing>
      </w:r>
    </w:p>
    <w:p>
      <w:pPr>
        <w:jc w:val="center"/>
      </w:pPr>
      <w:r>
        <w:rPr>
          <w:rFonts w:ascii="Times New Roman" w:hAnsi="Times New Roman"/>
          <w:i w:val="0"/>
          <w:sz w:val="18"/>
        </w:rPr>
        <w:t>Fig. 5 Availability assessment of commercial software versions cited in published papers.</w:t>
      </w:r>
    </w:p>
    <w:p>
      <w:pPr>
        <w:pStyle w:val="Heading2"/>
      </w:pPr>
      <w:r>
        <w:t>3.6 Replication Cost Estimates</w:t>
      </w:r>
    </w:p>
    <w:p>
      <w:r>
        <w:rPr>
          <w:rFonts w:ascii="Times New Roman" w:hAnsi="Times New Roman"/>
          <w:b w:val="0"/>
          <w:i w:val="0"/>
          <w:sz w:val="22"/>
        </w:rPr>
        <w:t>Among papers utilizing commercial software (n = 1791), the mean estimated replication cost was $1,900 (median: $1,188, maximum: $13,500). The overall mean cost across all 10,000 papers was $340. Cost distributions varied by field (Fig. 6), with Physics &amp; Engineering and Chemistry &amp; Materials showing the highest mean costs due to expensive simulation software (COMSOL, ANSYS, Gaussian).</w:t>
      </w:r>
    </w:p>
    <w:p>
      <w:pPr>
        <w:jc w:val="center"/>
      </w:pPr>
      <w:r>
        <w:drawing>
          <wp:inline xmlns:a="http://schemas.openxmlformats.org/drawingml/2006/main" xmlns:pic="http://schemas.openxmlformats.org/drawingml/2006/picture">
            <wp:extent cx="5029200" cy="2229802"/>
            <wp:docPr id="6" name="Picture 6"/>
            <wp:cNvGraphicFramePr>
              <a:graphicFrameLocks noChangeAspect="1"/>
            </wp:cNvGraphicFramePr>
            <a:graphic>
              <a:graphicData uri="http://schemas.openxmlformats.org/drawingml/2006/picture">
                <pic:pic>
                  <pic:nvPicPr>
                    <pic:cNvPr id="0" name="fig4_replication_costs.png"/>
                    <pic:cNvPicPr/>
                  </pic:nvPicPr>
                  <pic:blipFill>
                    <a:blip r:embed="rId14"/>
                    <a:stretch>
                      <a:fillRect/>
                    </a:stretch>
                  </pic:blipFill>
                  <pic:spPr>
                    <a:xfrm>
                      <a:off x="0" y="0"/>
                      <a:ext cx="5029200" cy="2229802"/>
                    </a:xfrm>
                    <a:prstGeom prst="rect"/>
                  </pic:spPr>
                </pic:pic>
              </a:graphicData>
            </a:graphic>
          </wp:inline>
        </w:drawing>
      </w:r>
    </w:p>
    <w:p>
      <w:pPr>
        <w:jc w:val="center"/>
      </w:pPr>
      <w:r>
        <w:rPr>
          <w:rFonts w:ascii="Times New Roman" w:hAnsi="Times New Roman"/>
          <w:i w:val="0"/>
          <w:sz w:val="18"/>
        </w:rPr>
        <w:t>Fig. 6 (a) Distribution of estimated replication costs among papers using commercial software, and (b) mean replication cost by research field.</w:t>
      </w:r>
    </w:p>
    <w:p>
      <w:pPr>
        <w:pStyle w:val="Heading2"/>
      </w:pPr>
      <w:r>
        <w:t>3.7 Code and Data Availability</w:t>
      </w:r>
    </w:p>
    <w:p>
      <w:r>
        <w:rPr>
          <w:rFonts w:ascii="Times New Roman" w:hAnsi="Times New Roman"/>
          <w:b w:val="0"/>
          <w:i w:val="0"/>
          <w:sz w:val="22"/>
        </w:rPr>
        <w:t>Code availability was stated in 529 papers (5.3%), and data availability in 367 papers (3.7%). Reproducibility-related language was found in 1,262 papers (12.6%). These low rates indicate that even basic reproducibility infrastructure — code and data sharing — remains uncommon in many fields, compounding the commercial software dependency problem.</w:t>
      </w:r>
    </w:p>
    <w:p>
      <w:pPr>
        <w:pStyle w:val="Heading2"/>
      </w:pPr>
      <w:r>
        <w:t>3.8 Impact of Full-Text Access on Detection</w:t>
      </w:r>
    </w:p>
    <w:p>
      <w:r>
        <w:rPr>
          <w:rFonts w:ascii="Times New Roman" w:hAnsi="Times New Roman"/>
          <w:b w:val="0"/>
          <w:i w:val="0"/>
          <w:sz w:val="22"/>
        </w:rPr>
        <w:t>PMC full-text was available for 4,816 papers (48.2%). Software detection rates were substantially higher when full-text Methods sections were available (Fig. 7), confirming that abstract-only analysis significantly underestimates software usage. This suggests that our overall software detection rates represent lower bounds of true software dependency.</w:t>
      </w:r>
    </w:p>
    <w:p>
      <w:pPr>
        <w:jc w:val="center"/>
      </w:pPr>
      <w:r>
        <w:drawing>
          <wp:inline xmlns:a="http://schemas.openxmlformats.org/drawingml/2006/main" xmlns:pic="http://schemas.openxmlformats.org/drawingml/2006/picture">
            <wp:extent cx="5029200" cy="2173023"/>
            <wp:docPr id="7" name="Picture 7"/>
            <wp:cNvGraphicFramePr>
              <a:graphicFrameLocks noChangeAspect="1"/>
            </wp:cNvGraphicFramePr>
            <a:graphic>
              <a:graphicData uri="http://schemas.openxmlformats.org/drawingml/2006/picture">
                <pic:pic>
                  <pic:nvPicPr>
                    <pic:cNvPr id="0" name="fig8_pmc_impact.png"/>
                    <pic:cNvPicPr/>
                  </pic:nvPicPr>
                  <pic:blipFill>
                    <a:blip r:embed="rId15"/>
                    <a:stretch>
                      <a:fillRect/>
                    </a:stretch>
                  </pic:blipFill>
                  <pic:spPr>
                    <a:xfrm>
                      <a:off x="0" y="0"/>
                      <a:ext cx="5029200" cy="2173023"/>
                    </a:xfrm>
                    <a:prstGeom prst="rect"/>
                  </pic:spPr>
                </pic:pic>
              </a:graphicData>
            </a:graphic>
          </wp:inline>
        </w:drawing>
      </w:r>
    </w:p>
    <w:p>
      <w:pPr>
        <w:jc w:val="center"/>
      </w:pPr>
      <w:r>
        <w:rPr>
          <w:rFonts w:ascii="Times New Roman" w:hAnsi="Times New Roman"/>
          <w:i w:val="0"/>
          <w:sz w:val="18"/>
        </w:rPr>
        <w:t>Fig. 7 Impact of PMC full-text availability on software detection rates.</w:t>
      </w:r>
    </w:p>
    <w:p>
      <w:pPr>
        <w:pStyle w:val="Heading2"/>
      </w:pPr>
      <w:r>
        <w:t>3.9 Vendor Policy Survey Results</w:t>
      </w:r>
    </w:p>
    <w:p>
      <w:r>
        <w:rPr>
          <w:rFonts w:ascii="Times New Roman" w:hAnsi="Times New Roman"/>
          <w:b w:val="0"/>
          <w:i w:val="0"/>
          <w:sz w:val="22"/>
        </w:rPr>
        <w:t>Our systematic survey of commercial software vendor policies regarding legacy version access and reproducibility-purpose licensing revealed a consistent pattern: no vendor explicitly offers a "reproducibility license" or equivalent mechanism for verification-purpose access to specific software versions. Table 2 summarizes the key findings.</w:t>
      </w:r>
    </w:p>
    <w:p>
      <w:r>
        <w:rPr>
          <w:rFonts w:ascii="Times New Roman" w:hAnsi="Times New Roman"/>
          <w:b/>
          <w:i w:val="0"/>
          <w:sz w:val="20"/>
        </w:rPr>
        <w:t>Table 2 Commercial software vendor legacy version access policies.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6"/>
              </w:rPr>
              <w:t>Software</w:t>
            </w:r>
          </w:p>
        </w:tc>
        <w:tc>
          <w:tcPr>
            <w:tcW w:type="dxa" w:w="1728"/>
          </w:tcPr>
          <w:p>
            <w:r>
              <w:rPr>
                <w:b/>
                <w:sz w:val="16"/>
              </w:rPr>
              <w:t>Vendor</w:t>
            </w:r>
          </w:p>
        </w:tc>
        <w:tc>
          <w:tcPr>
            <w:tcW w:type="dxa" w:w="1728"/>
          </w:tcPr>
          <w:p>
            <w:r>
              <w:rPr>
                <w:b/>
                <w:sz w:val="16"/>
              </w:rPr>
              <w:t>Legacy Access</w:t>
            </w:r>
          </w:p>
        </w:tc>
        <w:tc>
          <w:tcPr>
            <w:tcW w:type="dxa" w:w="1728"/>
          </w:tcPr>
          <w:p>
            <w:r>
              <w:rPr>
                <w:b/>
                <w:sz w:val="16"/>
              </w:rPr>
              <w:t>Free Access</w:t>
            </w:r>
          </w:p>
        </w:tc>
        <w:tc>
          <w:tcPr>
            <w:tcW w:type="dxa" w:w="1728"/>
          </w:tcPr>
          <w:p>
            <w:r>
              <w:rPr>
                <w:b/>
                <w:sz w:val="16"/>
              </w:rPr>
              <w:t>Reproducibility</w:t>
            </w:r>
          </w:p>
        </w:tc>
      </w:tr>
      <w:tr>
        <w:tc>
          <w:tcPr>
            <w:tcW w:type="dxa" w:w="1728"/>
          </w:tcPr>
          <w:p>
            <w:r>
              <w:rPr>
                <w:sz w:val="16"/>
              </w:rPr>
              <w:t>MATLAB</w:t>
            </w:r>
          </w:p>
        </w:tc>
        <w:tc>
          <w:tcPr>
            <w:tcW w:type="dxa" w:w="1728"/>
          </w:tcPr>
          <w:p>
            <w:r>
              <w:rPr>
                <w:sz w:val="16"/>
              </w:rPr>
              <w:t>MathWorks</w:t>
            </w:r>
          </w:p>
        </w:tc>
        <w:tc>
          <w:tcPr>
            <w:tcW w:type="dxa" w:w="1728"/>
          </w:tcPr>
          <w:p>
            <w:r>
              <w:rPr>
                <w:sz w:val="16"/>
              </w:rPr>
              <w:t>Yes (with active license)</w:t>
            </w:r>
          </w:p>
        </w:tc>
        <w:tc>
          <w:tcPr>
            <w:tcW w:type="dxa" w:w="1728"/>
          </w:tcPr>
          <w:p>
            <w:r>
              <w:rPr>
                <w:sz w:val="16"/>
              </w:rPr>
              <w:t>MATLAB Online Basic (20h/month)</w:t>
            </w:r>
          </w:p>
        </w:tc>
        <w:tc>
          <w:tcPr>
            <w:tcW w:type="dxa" w:w="1728"/>
          </w:tcPr>
          <w:p>
            <w:r>
              <w:rPr>
                <w:sz w:val="16"/>
              </w:rPr>
              <w:t>Relatively good</w:t>
            </w:r>
          </w:p>
        </w:tc>
      </w:tr>
      <w:tr>
        <w:tc>
          <w:tcPr>
            <w:tcW w:type="dxa" w:w="1728"/>
          </w:tcPr>
          <w:p>
            <w:r>
              <w:rPr>
                <w:sz w:val="16"/>
              </w:rPr>
              <w:t>Mathematica</w:t>
            </w:r>
          </w:p>
        </w:tc>
        <w:tc>
          <w:tcPr>
            <w:tcW w:type="dxa" w:w="1728"/>
          </w:tcPr>
          <w:p>
            <w:r>
              <w:rPr>
                <w:sz w:val="16"/>
              </w:rPr>
              <w:t>Wolfram</w:t>
            </w:r>
          </w:p>
        </w:tc>
        <w:tc>
          <w:tcPr>
            <w:tcW w:type="dxa" w:w="1728"/>
          </w:tcPr>
          <w:p>
            <w:r>
              <w:rPr>
                <w:sz w:val="16"/>
              </w:rPr>
              <w:t>No (since v14.1, Feb 2025)</w:t>
            </w:r>
          </w:p>
        </w:tc>
        <w:tc>
          <w:tcPr>
            <w:tcW w:type="dxa" w:w="1728"/>
          </w:tcPr>
          <w:p>
            <w:r>
              <w:rPr>
                <w:sz w:val="16"/>
              </w:rPr>
              <w:t>Wolfram Engine (CLI only)</w:t>
            </w:r>
          </w:p>
        </w:tc>
        <w:tc>
          <w:tcPr>
            <w:tcW w:type="dxa" w:w="1728"/>
          </w:tcPr>
          <w:p>
            <w:r>
              <w:rPr>
                <w:sz w:val="16"/>
              </w:rPr>
              <w:t>Severely restricted</w:t>
            </w:r>
          </w:p>
        </w:tc>
      </w:tr>
      <w:tr>
        <w:tc>
          <w:tcPr>
            <w:tcW w:type="dxa" w:w="1728"/>
          </w:tcPr>
          <w:p>
            <w:r>
              <w:rPr>
                <w:sz w:val="16"/>
              </w:rPr>
              <w:t>SPSS</w:t>
            </w:r>
          </w:p>
        </w:tc>
        <w:tc>
          <w:tcPr>
            <w:tcW w:type="dxa" w:w="1728"/>
          </w:tcPr>
          <w:p>
            <w:r>
              <w:rPr>
                <w:sz w:val="16"/>
              </w:rPr>
              <w:t>IBM</w:t>
            </w:r>
          </w:p>
        </w:tc>
        <w:tc>
          <w:tcPr>
            <w:tcW w:type="dxa" w:w="1728"/>
          </w:tcPr>
          <w:p>
            <w:r>
              <w:rPr>
                <w:sz w:val="16"/>
              </w:rPr>
              <w:t>No</w:t>
            </w:r>
          </w:p>
        </w:tc>
        <w:tc>
          <w:tcPr>
            <w:tcW w:type="dxa" w:w="1728"/>
          </w:tcPr>
          <w:p>
            <w:r>
              <w:rPr>
                <w:sz w:val="16"/>
              </w:rPr>
              <w:t>14-day trial only</w:t>
            </w:r>
          </w:p>
        </w:tc>
        <w:tc>
          <w:tcPr>
            <w:tcW w:type="dxa" w:w="1728"/>
          </w:tcPr>
          <w:p>
            <w:r>
              <w:rPr>
                <w:sz w:val="16"/>
              </w:rPr>
              <w:t>None</w:t>
            </w:r>
          </w:p>
        </w:tc>
      </w:tr>
      <w:tr>
        <w:tc>
          <w:tcPr>
            <w:tcW w:type="dxa" w:w="1728"/>
          </w:tcPr>
          <w:p>
            <w:r>
              <w:rPr>
                <w:sz w:val="16"/>
              </w:rPr>
              <w:t>SAS</w:t>
            </w:r>
          </w:p>
        </w:tc>
        <w:tc>
          <w:tcPr>
            <w:tcW w:type="dxa" w:w="1728"/>
          </w:tcPr>
          <w:p>
            <w:r>
              <w:rPr>
                <w:sz w:val="16"/>
              </w:rPr>
              <w:t>SAS Institute</w:t>
            </w:r>
          </w:p>
        </w:tc>
        <w:tc>
          <w:tcPr>
            <w:tcW w:type="dxa" w:w="1728"/>
          </w:tcPr>
          <w:p>
            <w:r>
              <w:rPr>
                <w:sz w:val="16"/>
              </w:rPr>
              <w:t>No</w:t>
            </w:r>
          </w:p>
        </w:tc>
        <w:tc>
          <w:tcPr>
            <w:tcW w:type="dxa" w:w="1728"/>
          </w:tcPr>
          <w:p>
            <w:r>
              <w:rPr>
                <w:sz w:val="16"/>
              </w:rPr>
              <w:t>SAS OnDemand (current only)</w:t>
            </w:r>
          </w:p>
        </w:tc>
        <w:tc>
          <w:tcPr>
            <w:tcW w:type="dxa" w:w="1728"/>
          </w:tcPr>
          <w:p>
            <w:r>
              <w:rPr>
                <w:sz w:val="16"/>
              </w:rPr>
              <w:t>None</w:t>
            </w:r>
          </w:p>
        </w:tc>
      </w:tr>
      <w:tr>
        <w:tc>
          <w:tcPr>
            <w:tcW w:type="dxa" w:w="1728"/>
          </w:tcPr>
          <w:p>
            <w:r>
              <w:rPr>
                <w:sz w:val="16"/>
              </w:rPr>
              <w:t>Stata</w:t>
            </w:r>
          </w:p>
        </w:tc>
        <w:tc>
          <w:tcPr>
            <w:tcW w:type="dxa" w:w="1728"/>
          </w:tcPr>
          <w:p>
            <w:r>
              <w:rPr>
                <w:sz w:val="16"/>
              </w:rPr>
              <w:t>StataCorp</w:t>
            </w:r>
          </w:p>
        </w:tc>
        <w:tc>
          <w:tcPr>
            <w:tcW w:type="dxa" w:w="1728"/>
          </w:tcPr>
          <w:p>
            <w:r>
              <w:rPr>
                <w:sz w:val="16"/>
              </w:rPr>
              <w:t>Limited</w:t>
            </w:r>
          </w:p>
        </w:tc>
        <w:tc>
          <w:tcPr>
            <w:tcW w:type="dxa" w:w="1728"/>
          </w:tcPr>
          <w:p>
            <w:r>
              <w:rPr>
                <w:sz w:val="16"/>
              </w:rPr>
              <w:t>None</w:t>
            </w:r>
          </w:p>
        </w:tc>
        <w:tc>
          <w:tcPr>
            <w:tcW w:type="dxa" w:w="1728"/>
          </w:tcPr>
          <w:p>
            <w:r>
              <w:rPr>
                <w:sz w:val="16"/>
              </w:rPr>
              <w:t>Partial (version cmd)</w:t>
            </w:r>
          </w:p>
        </w:tc>
      </w:tr>
      <w:tr>
        <w:tc>
          <w:tcPr>
            <w:tcW w:type="dxa" w:w="1728"/>
          </w:tcPr>
          <w:p>
            <w:r>
              <w:rPr>
                <w:sz w:val="16"/>
              </w:rPr>
              <w:t>GraphPad Prism</w:t>
            </w:r>
          </w:p>
        </w:tc>
        <w:tc>
          <w:tcPr>
            <w:tcW w:type="dxa" w:w="1728"/>
          </w:tcPr>
          <w:p>
            <w:r>
              <w:rPr>
                <w:sz w:val="16"/>
              </w:rPr>
              <w:t>Dotmatics</w:t>
            </w:r>
          </w:p>
        </w:tc>
        <w:tc>
          <w:tcPr>
            <w:tcW w:type="dxa" w:w="1728"/>
          </w:tcPr>
          <w:p>
            <w:r>
              <w:rPr>
                <w:sz w:val="16"/>
              </w:rPr>
              <w:t>No</w:t>
            </w:r>
          </w:p>
        </w:tc>
        <w:tc>
          <w:tcPr>
            <w:tcW w:type="dxa" w:w="1728"/>
          </w:tcPr>
          <w:p>
            <w:r>
              <w:rPr>
                <w:sz w:val="16"/>
              </w:rPr>
              <w:t>30-day trial only</w:t>
            </w:r>
          </w:p>
        </w:tc>
        <w:tc>
          <w:tcPr>
            <w:tcW w:type="dxa" w:w="1728"/>
          </w:tcPr>
          <w:p>
            <w:r>
              <w:rPr>
                <w:sz w:val="16"/>
              </w:rPr>
              <w:t>None</w:t>
            </w:r>
          </w:p>
        </w:tc>
      </w:tr>
      <w:tr>
        <w:tc>
          <w:tcPr>
            <w:tcW w:type="dxa" w:w="1728"/>
          </w:tcPr>
          <w:p>
            <w:r>
              <w:rPr>
                <w:sz w:val="16"/>
              </w:rPr>
              <w:t>Gaussian</w:t>
            </w:r>
          </w:p>
        </w:tc>
        <w:tc>
          <w:tcPr>
            <w:tcW w:type="dxa" w:w="1728"/>
          </w:tcPr>
          <w:p>
            <w:r>
              <w:rPr>
                <w:sz w:val="16"/>
              </w:rPr>
              <w:t>Gaussian Inc.</w:t>
            </w:r>
          </w:p>
        </w:tc>
        <w:tc>
          <w:tcPr>
            <w:tcW w:type="dxa" w:w="1728"/>
          </w:tcPr>
          <w:p>
            <w:r>
              <w:rPr>
                <w:sz w:val="16"/>
              </w:rPr>
              <w:t>Maintenance only</w:t>
            </w:r>
          </w:p>
        </w:tc>
        <w:tc>
          <w:tcPr>
            <w:tcW w:type="dxa" w:w="1728"/>
          </w:tcPr>
          <w:p>
            <w:r>
              <w:rPr>
                <w:sz w:val="16"/>
              </w:rPr>
              <w:t>None</w:t>
            </w:r>
          </w:p>
        </w:tc>
        <w:tc>
          <w:tcPr>
            <w:tcW w:type="dxa" w:w="1728"/>
          </w:tcPr>
          <w:p>
            <w:r>
              <w:rPr>
                <w:sz w:val="16"/>
              </w:rPr>
              <w:t>Limited</w:t>
            </w:r>
          </w:p>
        </w:tc>
      </w:tr>
      <w:tr>
        <w:tc>
          <w:tcPr>
            <w:tcW w:type="dxa" w:w="1728"/>
          </w:tcPr>
          <w:p>
            <w:r>
              <w:rPr>
                <w:sz w:val="16"/>
              </w:rPr>
              <w:t>COMSOL</w:t>
            </w:r>
          </w:p>
        </w:tc>
        <w:tc>
          <w:tcPr>
            <w:tcW w:type="dxa" w:w="1728"/>
          </w:tcPr>
          <w:p>
            <w:r>
              <w:rPr>
                <w:sz w:val="16"/>
              </w:rPr>
              <w:t>COMSOL AB</w:t>
            </w:r>
          </w:p>
        </w:tc>
        <w:tc>
          <w:tcPr>
            <w:tcW w:type="dxa" w:w="1728"/>
          </w:tcPr>
          <w:p>
            <w:r>
              <w:rPr>
                <w:sz w:val="16"/>
              </w:rPr>
              <w:t>Backward compat. only</w:t>
            </w:r>
          </w:p>
        </w:tc>
        <w:tc>
          <w:tcPr>
            <w:tcW w:type="dxa" w:w="1728"/>
          </w:tcPr>
          <w:p>
            <w:r>
              <w:rPr>
                <w:sz w:val="16"/>
              </w:rPr>
              <w:t>Trial only</w:t>
            </w:r>
          </w:p>
        </w:tc>
        <w:tc>
          <w:tcPr>
            <w:tcW w:type="dxa" w:w="1728"/>
          </w:tcPr>
          <w:p>
            <w:r>
              <w:rPr>
                <w:sz w:val="16"/>
              </w:rPr>
              <w:t>Partial</w:t>
            </w:r>
          </w:p>
        </w:tc>
      </w:tr>
      <w:tr>
        <w:tc>
          <w:tcPr>
            <w:tcW w:type="dxa" w:w="1728"/>
          </w:tcPr>
          <w:p>
            <w:r>
              <w:rPr>
                <w:sz w:val="16"/>
              </w:rPr>
              <w:t>ANSYS</w:t>
            </w:r>
          </w:p>
        </w:tc>
        <w:tc>
          <w:tcPr>
            <w:tcW w:type="dxa" w:w="1728"/>
          </w:tcPr>
          <w:p>
            <w:r>
              <w:rPr>
                <w:sz w:val="16"/>
              </w:rPr>
              <w:t>Ansys Inc.</w:t>
            </w:r>
          </w:p>
        </w:tc>
        <w:tc>
          <w:tcPr>
            <w:tcW w:type="dxa" w:w="1728"/>
          </w:tcPr>
          <w:p>
            <w:r>
              <w:rPr>
                <w:sz w:val="16"/>
              </w:rPr>
              <w:t>No</w:t>
            </w:r>
          </w:p>
        </w:tc>
        <w:tc>
          <w:tcPr>
            <w:tcW w:type="dxa" w:w="1728"/>
          </w:tcPr>
          <w:p>
            <w:r>
              <w:rPr>
                <w:sz w:val="16"/>
              </w:rPr>
              <w:t>Student (limited)</w:t>
            </w:r>
          </w:p>
        </w:tc>
        <w:tc>
          <w:tcPr>
            <w:tcW w:type="dxa" w:w="1728"/>
          </w:tcPr>
          <w:p>
            <w:r>
              <w:rPr>
                <w:sz w:val="16"/>
              </w:rPr>
              <w:t>None</w:t>
            </w:r>
          </w:p>
        </w:tc>
      </w:tr>
      <w:tr>
        <w:tc>
          <w:tcPr>
            <w:tcW w:type="dxa" w:w="1728"/>
          </w:tcPr>
          <w:p>
            <w:r>
              <w:rPr>
                <w:sz w:val="16"/>
              </w:rPr>
              <w:t>FlowJo</w:t>
            </w:r>
          </w:p>
        </w:tc>
        <w:tc>
          <w:tcPr>
            <w:tcW w:type="dxa" w:w="1728"/>
          </w:tcPr>
          <w:p>
            <w:r>
              <w:rPr>
                <w:sz w:val="16"/>
              </w:rPr>
              <w:t>BD Biosciences</w:t>
            </w:r>
          </w:p>
        </w:tc>
        <w:tc>
          <w:tcPr>
            <w:tcW w:type="dxa" w:w="1728"/>
          </w:tcPr>
          <w:p>
            <w:r>
              <w:rPr>
                <w:sz w:val="16"/>
              </w:rPr>
              <w:t>No</w:t>
            </w:r>
          </w:p>
        </w:tc>
        <w:tc>
          <w:tcPr>
            <w:tcW w:type="dxa" w:w="1728"/>
          </w:tcPr>
          <w:p>
            <w:r>
              <w:rPr>
                <w:sz w:val="16"/>
              </w:rPr>
              <w:t>Trial only</w:t>
            </w:r>
          </w:p>
        </w:tc>
        <w:tc>
          <w:tcPr>
            <w:tcW w:type="dxa" w:w="1728"/>
          </w:tcPr>
          <w:p>
            <w:r>
              <w:rPr>
                <w:sz w:val="16"/>
              </w:rPr>
              <w:t>None</w:t>
            </w:r>
          </w:p>
        </w:tc>
      </w:tr>
    </w:tbl>
    <w:p>
      <w:r>
        <w:rPr>
          <w:rFonts w:ascii="Times New Roman" w:hAnsi="Times New Roman"/>
          <w:b w:val="0"/>
          <w:i w:val="0"/>
          <w:sz w:val="22"/>
        </w:rPr>
        <w:t>Key findings from the vendor survey include:</w:t>
      </w:r>
    </w:p>
    <w:p>
      <w:pPr>
        <w:pStyle w:val="ListBullet"/>
      </w:pPr>
      <w:r>
        <w:rPr>
          <w:sz w:val="20"/>
        </w:rPr>
        <w:t>MATLAB (MathWorks) offers the most accessible legacy version policy, allowing downloads of versions from R2007b onward with an active Software Maintenance Service license. MATLAB Online Basic provides 20 hours per month of free access, though this is limited to the current version.</w:t>
      </w:r>
    </w:p>
    <w:p>
      <w:pPr>
        <w:pStyle w:val="ListBullet"/>
      </w:pPr>
      <w:r>
        <w:rPr>
          <w:sz w:val="20"/>
        </w:rPr>
        <w:t>Mathematica (Wolfram) represents a cautionary case: in February 2025, a licensing mechanism change (v14.1) rendered legacy versions unable to be activated with new licenses, effectively eliminating backward compatibility for academic users.</w:t>
      </w:r>
    </w:p>
    <w:p>
      <w:pPr>
        <w:pStyle w:val="ListBullet"/>
      </w:pPr>
      <w:r>
        <w:rPr>
          <w:sz w:val="20"/>
        </w:rPr>
        <w:t>SPSS (IBM) and GraphPad Prism operate on subscription models with no provision for legacy version access. Once a subscription expires, all access is lost.</w:t>
      </w:r>
    </w:p>
    <w:p>
      <w:pPr>
        <w:pStyle w:val="ListBullet"/>
      </w:pPr>
      <w:r>
        <w:rPr>
          <w:sz w:val="20"/>
        </w:rPr>
        <w:t>Stata claims backward compatibility via its "version" command, but empirical testing by the Econometrics Journal Data Editor (2024) revealed instances where different versions produced inconsistent results.</w:t>
      </w:r>
    </w:p>
    <w:p>
      <w:pPr>
        <w:pStyle w:val="ListBullet"/>
      </w:pPr>
      <w:r>
        <w:rPr>
          <w:sz w:val="20"/>
        </w:rPr>
        <w:t>No vendor provides a mechanism specifically designed for research verification or replication purposes.</w:t>
      </w:r>
    </w:p>
    <w:p>
      <w:pPr>
        <w:pStyle w:val="Heading1"/>
      </w:pPr>
      <w:r>
        <w:t>4 Discussion</w:t>
      </w:r>
    </w:p>
    <w:p>
      <w:pPr>
        <w:pStyle w:val="Heading2"/>
      </w:pPr>
      <w:r>
        <w:t>4.1 The Version Accessibility Gap</w:t>
      </w:r>
    </w:p>
    <w:p>
      <w:r>
        <w:rPr>
          <w:rFonts w:ascii="Times New Roman" w:hAnsi="Times New Roman"/>
          <w:b w:val="0"/>
          <w:i w:val="0"/>
          <w:sz w:val="22"/>
        </w:rPr>
        <w:t>Our findings reveal a previously unquantified dimension of the reproducibility crisis: the version accessibility gap. Of the 1,853 papers in our sample that used commercial software, the vast majority cited software versions that are no longer available from the original vendor. Combined with a version reporting rate of only 17.0%, this creates a compound problem: researchers frequently fail to report which version they used, and even when they do, the cited version is often unobtainable.</w:t>
      </w:r>
    </w:p>
    <w:p>
      <w:r>
        <w:rPr>
          <w:rFonts w:ascii="Times New Roman" w:hAnsi="Times New Roman"/>
          <w:b w:val="0"/>
          <w:i w:val="0"/>
          <w:sz w:val="22"/>
        </w:rPr>
        <w:t>This gap has practical consequences beyond mere inconvenience. Different software versions may implement different algorithms, use different numerical precision, or have different default parameters. The Mathematica v14.1 licensing change of February 2025 exemplifies how vendor decisions can instantaneously render entire bodies of computational work non-reproducible, as researchers can no longer activate the exact software versions used in their published studies.</w:t>
      </w:r>
    </w:p>
    <w:p>
      <w:pPr>
        <w:pStyle w:val="Heading2"/>
      </w:pPr>
      <w:r>
        <w:t>4.2 The Financial Barrier to Replication</w:t>
      </w:r>
    </w:p>
    <w:p>
      <w:r>
        <w:rPr>
          <w:rFonts w:ascii="Times New Roman" w:hAnsi="Times New Roman"/>
          <w:b w:val="0"/>
          <w:i w:val="0"/>
          <w:sz w:val="22"/>
        </w:rPr>
        <w:t>The estimated mean replication cost of $1,900 for papers using commercial software represents a non-trivial financial barrier, particularly for independent verification efforts and researchers in resource-limited settings. This cost is borne entirely by the researcher attempting replication, creating an asymmetry where the original research may have been conducted with institutional site licenses, but replication requires individual purchases. The total estimated cost to replicate all 1791 commercial-software-dependent papers in our sample would be approximately $3,403,770.</w:t>
      </w:r>
    </w:p>
    <w:p>
      <w:pPr>
        <w:pStyle w:val="Heading2"/>
      </w:pPr>
      <w:r>
        <w:t>4.3 Comparison with Existing Literature</w:t>
      </w:r>
    </w:p>
    <w:p>
      <w:r>
        <w:rPr>
          <w:rFonts w:ascii="Times New Roman" w:hAnsi="Times New Roman"/>
          <w:b w:val="0"/>
          <w:i w:val="0"/>
          <w:sz w:val="22"/>
        </w:rPr>
        <w:t>Our findings extend the foundational work of Collberg et al. [10], who reported that only 32.3% of computational papers could be successfully reproduced, by quantifying the specific contribution of commercial software dependency to this reproducibility failure. Krafczyk et al. [11] further demonstrated the risks of misinterpretation when attempting to reproduce computational results, reinforcing the importance of exact software version availability. While previous studies have focused on code availability [4], data sharing, and computational environment reproducibility [12], our work specifically addresses the software licensing and version accessibility dimensions.</w:t>
      </w:r>
    </w:p>
    <w:p>
      <w:r>
        <w:rPr>
          <w:rFonts w:ascii="Times New Roman" w:hAnsi="Times New Roman"/>
          <w:b w:val="0"/>
          <w:i w:val="0"/>
          <w:sz w:val="22"/>
        </w:rPr>
        <w:t>The proposal by Cohen-Sasson and Tur-Sinai [13] for "Replication Agreements" provides a legal framework that complements our empirical findings. Our data demonstrate the scale of the problem that such agreements would need to address: 40 distinct commercial software tools across 10,000 published papers, with an average of 1.25 commercial tools per paper among those using commercial software.</w:t>
      </w:r>
    </w:p>
    <w:p>
      <w:pPr>
        <w:pStyle w:val="Heading2"/>
      </w:pPr>
      <w:r>
        <w:t>4.4 Toward a Reproducibility License Framework</w:t>
      </w:r>
    </w:p>
    <w:p>
      <w:r>
        <w:rPr>
          <w:rFonts w:ascii="Times New Roman" w:hAnsi="Times New Roman"/>
          <w:b w:val="0"/>
          <w:i w:val="0"/>
          <w:sz w:val="22"/>
        </w:rPr>
        <w:t>Based on our empirical findings and vendor policy survey, we propose a "Reproducibility License" framework with the following elements:</w:t>
      </w:r>
    </w:p>
    <w:p>
      <w:pPr>
        <w:pStyle w:val="ListNumber"/>
      </w:pPr>
      <w:r>
        <w:rPr>
          <w:sz w:val="20"/>
        </w:rPr>
        <w:t>Time-limited access (e.g., 6 months) to the specific software version cited in a published paper, granted upon presentation of the paper DOI and a statement of verification intent.</w:t>
      </w:r>
    </w:p>
    <w:p>
      <w:pPr>
        <w:pStyle w:val="ListNumber"/>
      </w:pPr>
      <w:r>
        <w:rPr>
          <w:sz w:val="20"/>
        </w:rPr>
        <w:t>Mandatory version archiving by vendors, ensuring that versions cited in published research remain accessible for a minimum of 10 years after the last publication citing that version.</w:t>
      </w:r>
    </w:p>
    <w:p>
      <w:pPr>
        <w:pStyle w:val="ListNumber"/>
      </w:pPr>
      <w:r>
        <w:rPr>
          <w:sz w:val="20"/>
        </w:rPr>
        <w:t>Publisher-mediated license agreements, where journals require authors to confirm software accessibility as part of the submission process, similar to existing data availability requirements.</w:t>
      </w:r>
    </w:p>
    <w:p>
      <w:pPr>
        <w:pStyle w:val="ListNumber"/>
      </w:pPr>
      <w:r>
        <w:rPr>
          <w:sz w:val="20"/>
        </w:rPr>
        <w:t>Funding agency mandates requiring that grant recipients use software with reproducibility-compatible licensing or budget for legacy version preservation.</w:t>
      </w:r>
    </w:p>
    <w:p>
      <w:pPr>
        <w:pStyle w:val="ListNumber"/>
      </w:pPr>
      <w:r>
        <w:rPr>
          <w:sz w:val="20"/>
        </w:rPr>
        <w:t>Development of open-source alternatives receiving dedicated funding through programs like the Replication Engine proposed by the Institute for Progress (2025).</w:t>
      </w:r>
    </w:p>
    <w:p>
      <w:pPr>
        <w:pStyle w:val="Heading2"/>
      </w:pPr>
      <w:r>
        <w:t>4.5 Limitations</w:t>
      </w:r>
    </w:p>
    <w:p>
      <w:r>
        <w:rPr>
          <w:rFonts w:ascii="Times New Roman" w:hAnsi="Times New Roman"/>
          <w:b w:val="0"/>
          <w:i w:val="0"/>
          <w:sz w:val="22"/>
        </w:rPr>
        <w:t>Several limitations should be considered when interpreting our results. First, software detection relied on pattern matching, which may miss software mentioned using non-standard names or abbreviations, and may produce false positives for software names that overlap with common words. Second, PubMed covers biomedical and life sciences more comprehensively than other domains; our Chemistry &amp; Materials, Physics &amp; Engineering, and Social &amp; Behavioral strata may underrepresent the full publication landscape in those fields. Third, PMC full-text was available for only 48.2% of papers, meaning our detection rates represent lower bounds. Fourth, cost estimates are based on standard list prices and may not reflect actual institutional costs. Fifth, while our sample of 10,000 papers provides robust cross-field estimates, certain subfield-level analyses may benefit from larger targeted samples.</w:t>
      </w:r>
    </w:p>
    <w:p>
      <w:pPr>
        <w:pStyle w:val="Heading1"/>
      </w:pPr>
      <w:r>
        <w:t>5 Conclusion</w:t>
      </w:r>
    </w:p>
    <w:p>
      <w:r>
        <w:rPr>
          <w:rFonts w:ascii="Times New Roman" w:hAnsi="Times New Roman"/>
          <w:b w:val="0"/>
          <w:i w:val="0"/>
          <w:sz w:val="22"/>
        </w:rPr>
        <w:t>This study provides the first large-scale empirical quantification of commercial software dependency in published research and its implications for reproducibility. Our analysis of 10,000 papers across seven research fields reveals that 18.5% of papers depend on commercial software, with 97.0% of cited commercial software versions classified as likely unavailable from vendors. The mean estimated replication cost of $1,900 per paper for those using commercial tools represents a significant barrier to independent verification.</w:t>
      </w:r>
    </w:p>
    <w:p>
      <w:r>
        <w:rPr>
          <w:rFonts w:ascii="Times New Roman" w:hAnsi="Times New Roman"/>
          <w:b w:val="0"/>
          <w:i w:val="0"/>
          <w:sz w:val="22"/>
        </w:rPr>
        <w:t>Our vendor policy survey confirms a systemic gap: no major commercial software vendor offers a mechanism specifically designed for research verification or reproducibility purposes. This "version accessibility gap" represents a quantifiable and policy-relevant dimension of the reproducibility crisis that requires coordinated action from publishers, funding agencies, and software vendors.</w:t>
      </w:r>
    </w:p>
    <w:p>
      <w:r>
        <w:rPr>
          <w:rFonts w:ascii="Times New Roman" w:hAnsi="Times New Roman"/>
          <w:b w:val="0"/>
          <w:i w:val="0"/>
          <w:sz w:val="22"/>
        </w:rPr>
        <w:t>We propose a "Reproducibility License" framework as a concrete step toward closing this gap, encompassing time-limited verification access, mandatory version archiving, and publisher-mediated license agreements. The complete dataset and analysis pipeline generated by this study are publicly available to support further research and policy development in computational reproducibility.</w:t>
      </w:r>
    </w:p>
    <w:p>
      <w:pPr>
        <w:pStyle w:val="Heading1"/>
      </w:pPr>
      <w:r>
        <w:t>Data Availability</w:t>
      </w:r>
    </w:p>
    <w:p>
      <w:r>
        <w:rPr>
          <w:rFonts w:ascii="Times New Roman" w:hAnsi="Times New Roman"/>
          <w:b w:val="0"/>
          <w:i w:val="0"/>
          <w:sz w:val="22"/>
        </w:rPr>
        <w:t>The complete dataset generated by this study is available at [Repository to be specified with DOI]. The dataset includes the following files:</w:t>
      </w:r>
    </w:p>
    <w:p>
      <w:pPr>
        <w:pStyle w:val="ListBullet"/>
      </w:pPr>
      <w:r>
        <w:rPr>
          <w:b/>
          <w:sz w:val="20"/>
        </w:rPr>
        <w:t xml:space="preserve">extracted_data.csv: </w:t>
      </w:r>
      <w:r>
        <w:rPr>
          <w:sz w:val="20"/>
        </w:rPr>
        <w:t>Complete dataset of 10,000 papers with 35 variables including bibliographic metadata, software mentions, version information, availability status, and estimated replication costs.</w:t>
      </w:r>
    </w:p>
    <w:p>
      <w:pPr>
        <w:pStyle w:val="ListBullet"/>
      </w:pPr>
      <w:r>
        <w:rPr>
          <w:b/>
          <w:sz w:val="20"/>
        </w:rPr>
        <w:t xml:space="preserve">sampled_pmids.csv: </w:t>
      </w:r>
      <w:r>
        <w:rPr>
          <w:sz w:val="20"/>
        </w:rPr>
        <w:t>List of 10,000 PubMed IDs with stratum assignments used for sampling.</w:t>
      </w:r>
    </w:p>
    <w:p>
      <w:pPr>
        <w:pStyle w:val="ListBullet"/>
      </w:pPr>
      <w:r>
        <w:rPr>
          <w:b/>
          <w:sz w:val="20"/>
        </w:rPr>
        <w:t xml:space="preserve">sampling_stats.csv: </w:t>
      </w:r>
      <w:r>
        <w:rPr>
          <w:sz w:val="20"/>
        </w:rPr>
        <w:t>Stratum-level sampling statistics including total available papers, target sample size, and actual sampled count.</w:t>
      </w:r>
    </w:p>
    <w:p>
      <w:pPr>
        <w:pStyle w:val="ListBullet"/>
      </w:pPr>
      <w:r>
        <w:rPr>
          <w:b/>
          <w:sz w:val="20"/>
        </w:rPr>
        <w:t xml:space="preserve">summary_stats.json: </w:t>
      </w:r>
      <w:r>
        <w:rPr>
          <w:sz w:val="20"/>
        </w:rPr>
        <w:t>Summary statistics at overall and stratum levels.</w:t>
      </w:r>
    </w:p>
    <w:p>
      <w:pPr>
        <w:pStyle w:val="Heading1"/>
      </w:pPr>
      <w:r>
        <w:t>Code Availability</w:t>
      </w:r>
    </w:p>
    <w:p>
      <w:r>
        <w:rPr>
          <w:rFonts w:ascii="Times New Roman" w:hAnsi="Times New Roman"/>
          <w:b w:val="0"/>
          <w:i w:val="0"/>
          <w:sz w:val="22"/>
        </w:rPr>
        <w:t>The complete sampling and extraction pipeline (pubmed_sampler.py), figure generation code (generate_figures.py), and document generation code are available at [GitHub repository URL to be added]. The pipeline requires Python 3.10+, pandas, requests, tqdm, matplotlib, and seaborn.</w:t>
      </w:r>
    </w:p>
    <w:p>
      <w:pPr>
        <w:pStyle w:val="Heading1"/>
      </w:pPr>
      <w:r>
        <w:t>Acknowledgements</w:t>
      </w:r>
    </w:p>
    <w:p>
      <w:r>
        <w:rPr>
          <w:rFonts w:ascii="Times New Roman" w:hAnsi="Times New Roman"/>
          <w:b w:val="0"/>
          <w:i w:val="0"/>
          <w:sz w:val="22"/>
        </w:rPr>
        <w:t>[To be added]</w:t>
      </w:r>
    </w:p>
    <w:p>
      <w:pPr>
        <w:pStyle w:val="Heading1"/>
      </w:pPr>
      <w:r>
        <w:t>Author Contributions</w:t>
      </w:r>
    </w:p>
    <w:p>
      <w:r>
        <w:rPr>
          <w:rFonts w:ascii="Times New Roman" w:hAnsi="Times New Roman"/>
          <w:b w:val="0"/>
          <w:i w:val="0"/>
          <w:sz w:val="22"/>
        </w:rPr>
        <w:t>[To be added. Suggested format: X.X. conceived the study and designed the sampling methodology. Y.Y. developed the analysis pipeline and conducted the data extraction. Z.Z. conducted the vendor policy survey. All authors contributed to the interpretation of results and writing of the manuscript.]</w:t>
      </w:r>
    </w:p>
    <w:p>
      <w:pPr>
        <w:pStyle w:val="Heading1"/>
      </w:pPr>
      <w:r>
        <w:t>Funding</w:t>
      </w:r>
    </w:p>
    <w:p>
      <w:r>
        <w:rPr>
          <w:rFonts w:ascii="Times New Roman" w:hAnsi="Times New Roman"/>
          <w:b w:val="0"/>
          <w:i w:val="0"/>
          <w:sz w:val="22"/>
        </w:rPr>
        <w:t>[To be added]</w:t>
      </w:r>
    </w:p>
    <w:p>
      <w:pPr>
        <w:pStyle w:val="Heading1"/>
      </w:pPr>
      <w:r>
        <w:t>Declarations</w:t>
      </w:r>
    </w:p>
    <w:p>
      <w:pPr>
        <w:pStyle w:val="Heading2"/>
      </w:pPr>
      <w:r>
        <w:t>Competing Interests</w:t>
      </w:r>
    </w:p>
    <w:p>
      <w:r>
        <w:rPr>
          <w:rFonts w:ascii="Times New Roman" w:hAnsi="Times New Roman"/>
          <w:b w:val="0"/>
          <w:i w:val="0"/>
          <w:sz w:val="22"/>
        </w:rPr>
        <w:t>The authors declare that they have no competing interests.</w:t>
      </w:r>
    </w:p>
    <w:p>
      <w:pPr>
        <w:pStyle w:val="Heading2"/>
      </w:pPr>
      <w:r>
        <w:t>Ethics Approval</w:t>
      </w:r>
    </w:p>
    <w:p>
      <w:r>
        <w:rPr>
          <w:rFonts w:ascii="Times New Roman" w:hAnsi="Times New Roman"/>
          <w:b w:val="0"/>
          <w:i w:val="0"/>
          <w:sz w:val="22"/>
        </w:rPr>
        <w:t>Not applicable. This study analyzed publicly available bibliographic metadata and did not involve human subjects or animal experimentation.</w:t>
      </w:r>
    </w:p>
    <w:p>
      <w:pPr>
        <w:pStyle w:val="Heading1"/>
      </w:pPr>
      <w:r>
        <w:t>References</w:t>
      </w:r>
    </w:p>
    <w:p>
      <w:r>
        <w:rPr>
          <w:sz w:val="18"/>
        </w:rPr>
        <w:t>[1] Baker M. 1,500 scientists lift the lid on reproducibility. Nature. 2016;533:452–454.</w:t>
      </w:r>
    </w:p>
    <w:p>
      <w:r>
        <w:rPr>
          <w:sz w:val="18"/>
        </w:rPr>
        <w:t>[2] Wilkinson MD, Dumontier M, Aalbersberg IJ, et al. The FAIR Guiding Principles for scientific data management and stewardship. Sci Data. 2016;3:160018.</w:t>
      </w:r>
    </w:p>
    <w:p>
      <w:r>
        <w:rPr>
          <w:sz w:val="18"/>
        </w:rPr>
        <w:t>[3] Gentleman R, Temple Lang D. Statistical Analyses and Reproducible Research. J Comput Graph Stat. 2007;16:1–23.</w:t>
      </w:r>
    </w:p>
    <w:p>
      <w:r>
        <w:rPr>
          <w:sz w:val="18"/>
        </w:rPr>
        <w:t>[4] Stodden V, Seiler J, Ma Z. An empirical analysis of journal policy effectiveness for computational reproducibility. Proc Natl Acad Sci. 2018;115:2584–2589.</w:t>
      </w:r>
    </w:p>
    <w:p>
      <w:r>
        <w:rPr>
          <w:sz w:val="18"/>
        </w:rPr>
        <w:t>[5] Eglen SJ, Marber M, Bhatt DL, et al. Toward standard practices for sharing computer code and programs in neuroscience. Nat Neurosci. 2017;20:770–773.</w:t>
      </w:r>
    </w:p>
    <w:p>
      <w:r>
        <w:rPr>
          <w:sz w:val="18"/>
        </w:rPr>
        <w:t>[6] Miyakawa T. No raw data, no science: another possible source of the reproducibility crisis. Mol Brain. 2020;13:24.</w:t>
      </w:r>
    </w:p>
    <w:p>
      <w:r>
        <w:rPr>
          <w:sz w:val="18"/>
        </w:rPr>
        <w:t>[7] Konkol M, Kray C, Pfeiffer M. Computational reproducibility in geoscientific papers: A challenge for our community. Int J Geogr Inf Sci. 2019;33:166–187.</w:t>
      </w:r>
    </w:p>
    <w:p>
      <w:r>
        <w:rPr>
          <w:sz w:val="18"/>
        </w:rPr>
        <w:t>[8] Peng RD. Reproducible Research in Computational Science. Science. 2011;334:1226–1227.</w:t>
      </w:r>
    </w:p>
    <w:p>
      <w:r>
        <w:rPr>
          <w:sz w:val="18"/>
        </w:rPr>
        <w:t>[9] Goodman SN, Fanelli D, Ioannidis JPA. What does research reproducibility mean? Sci Transl Med. 2016;8:341ps12.</w:t>
      </w:r>
    </w:p>
    <w:p>
      <w:r>
        <w:rPr>
          <w:sz w:val="18"/>
        </w:rPr>
        <w:t>[10] Collberg C, Proebsting TA. Repeatability in Computer Systems Research. Commun ACM. 2016;59:62–69.</w:t>
      </w:r>
    </w:p>
    <w:p>
      <w:r>
        <w:rPr>
          <w:sz w:val="18"/>
        </w:rPr>
        <w:t>[11] Krafczyk MS, Shi A, Bhaskar A, Marinov D, Stodden V. Learning from reproducing computational results: introducing two measures of success and misinterpretation risks. Philos Trans R Soc A. 2021;379:20200069.</w:t>
      </w:r>
    </w:p>
    <w:p>
      <w:r>
        <w:rPr>
          <w:sz w:val="18"/>
        </w:rPr>
        <w:t>[12] Hinsen K. Dealing With Software Collapse. Comput Sci Eng. 2019;21:104–108.</w:t>
      </w:r>
    </w:p>
    <w:p>
      <w:r>
        <w:rPr>
          <w:sz w:val="18"/>
        </w:rPr>
        <w:t>[13] Cohen-Sasson O, Tur-Sinai O. Facilitating open science without sacrificing IP rights. EMBO Rep. 2022;23:e55498.</w:t>
      </w:r>
    </w:p>
    <w:p>
      <w:r>
        <w:rPr>
          <w:sz w:val="18"/>
        </w:rPr>
        <w:t>[14] Ioannidis JPA. Why Most Published Research Findings Are False. PLoS Med. 2005;2:e124.</w:t>
      </w:r>
    </w:p>
    <w:p>
      <w:r>
        <w:rPr>
          <w:sz w:val="18"/>
        </w:rPr>
        <w:t>[15] Nosek BA, Alter G, Banks GC, et al. Promoting an open research culture. Science. 2015;348:1422–1425.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