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2"/>
        </w:rPr>
        <w:t>Point-by-Point Response to Editor and Reviewer Comments</w:t>
      </w:r>
    </w:p>
    <w:p>
      <w:pPr>
        <w:jc w:val="center"/>
      </w:pPr>
      <w:r>
        <w:rPr>
          <w:rFonts w:ascii="Times New Roman" w:hAnsi="Times New Roman"/>
          <w:sz w:val="22"/>
        </w:rPr>
        <w:t>Manuscript: "The Hidden Cost of Reproducibility: Commercial Software Dependency in Published Research and the Version Accessibility Gap"</w:t>
        <w:br/>
        <w:t>Submission ID: 55ab98e1-ce02-4b26-868a-26bbd44f15e3</w:t>
        <w:br/>
        <w:t>Journal: EPJ Research Infrastructures</w:t>
      </w:r>
    </w:p>
    <w:p/>
    <w:p>
      <w:pPr>
        <w:spacing w:after="240"/>
      </w:pPr>
      <w:r>
        <w:rPr>
          <w:rFonts w:ascii="Times New Roman" w:hAnsi="Times New Roman"/>
          <w:sz w:val="22"/>
        </w:rPr>
        <w:t>We thank the editor and reviewer for their constructive and insightful comments. We have carefully addressed all points raised. Below we provide our point-by-point responses, with references to the specific sections of the revised manuscript where changes were made.</w:t>
      </w:r>
    </w:p>
    <w:p>
      <w:pPr>
        <w:pStyle w:val="Heading2"/>
      </w:pPr>
      <w:r>
        <w:rPr>
          <w:sz w:val="26"/>
        </w:rPr>
        <w:t>Response to Editor Comments</w:t>
      </w:r>
    </w:p>
    <w:p>
      <w:r>
        <w:rPr>
          <w:rFonts w:ascii="Times New Roman" w:hAnsi="Times New Roman"/>
          <w:b/>
          <w:color w:val="000080"/>
          <w:sz w:val="22"/>
        </w:rPr>
        <w:t xml:space="preserve">Editor Comment 1: </w:t>
      </w:r>
      <w:r>
        <w:rPr>
          <w:rFonts w:ascii="Times New Roman" w:hAnsi="Times New Roman"/>
          <w:i/>
          <w:color w:val="000080"/>
          <w:sz w:val="22"/>
        </w:rPr>
        <w:t>There should be direct and sufficient explanation of the core problem—the baseline significance of reproducibility and the potential impact any barriers to reproducibility would pose.</w:t>
      </w:r>
    </w:p>
    <w:p>
      <w:pPr>
        <w:spacing w:after="240"/>
      </w:pPr>
      <w:r>
        <w:rPr>
          <w:rFonts w:ascii="Times New Roman" w:hAnsi="Times New Roman"/>
          <w:sz w:val="22"/>
        </w:rPr>
        <w:t>We have substantially expanded Section 1.1 ("The Reproducibility Crisis and Its Scope") to provide a direct explanation of the significance of reproducibility, its foundational role in the self-correcting nature of scientific inquiry, and the concrete impacts when it fails. We now cite Freedman et al. (2015) on the estimated $28 billion annual cost of irreproducible preclinical research in the US, and Ioannidis (2005) on the broader implications for scientific self-correction. The section explicitly frames the version accessibility gap as a structural barrier within this context.</w:t>
      </w:r>
    </w:p>
    <w:p>
      <w:r>
        <w:rPr>
          <w:rFonts w:ascii="Times New Roman" w:hAnsi="Times New Roman"/>
          <w:b/>
          <w:color w:val="000080"/>
          <w:sz w:val="22"/>
        </w:rPr>
        <w:t xml:space="preserve">Editor Comment 2: </w:t>
      </w:r>
      <w:r>
        <w:rPr>
          <w:rFonts w:ascii="Times New Roman" w:hAnsi="Times New Roman"/>
          <w:i/>
          <w:color w:val="000080"/>
          <w:sz w:val="22"/>
        </w:rPr>
        <w:t>The specific or representative parties impacted in this context.</w:t>
      </w:r>
    </w:p>
    <w:p>
      <w:pPr>
        <w:spacing w:after="240"/>
      </w:pPr>
      <w:r>
        <w:rPr>
          <w:rFonts w:ascii="Times New Roman" w:hAnsi="Times New Roman"/>
          <w:sz w:val="22"/>
        </w:rPr>
        <w:t>Section 1.1 now explicitly identifies three categories of stakeholders affected by the reproducibility crisis and commercial software dependency: (1) individual researchers (wasted time and funding), (2) funding agencies and publishers (erosion of public trust and return on investment), and (3) researchers in low- and middle-income countries (LMICs), for whom financial barriers to accessing commercial tools create structural inequity. Additionally, the new country/income-group analysis (Section 3.10, Figure 7) provides empirical evidence that LMIC-affiliated researchers face similar commercial software dependency rates but have lower access to code sharing infrastructure.</w:t>
      </w:r>
    </w:p>
    <w:p>
      <w:r>
        <w:rPr>
          <w:rFonts w:ascii="Times New Roman" w:hAnsi="Times New Roman"/>
          <w:b/>
          <w:color w:val="000080"/>
          <w:sz w:val="22"/>
        </w:rPr>
        <w:t xml:space="preserve">Editor Comment 3: </w:t>
      </w:r>
      <w:r>
        <w:rPr>
          <w:rFonts w:ascii="Times New Roman" w:hAnsi="Times New Roman"/>
          <w:i/>
          <w:color w:val="000080"/>
          <w:sz w:val="22"/>
        </w:rPr>
        <w:t>The actual context of the "crisis", with at least some referenced support that the foundational crisis of this study exists.</w:t>
      </w:r>
    </w:p>
    <w:p>
      <w:pPr>
        <w:spacing w:after="240"/>
      </w:pPr>
      <w:r>
        <w:rPr>
          <w:rFonts w:ascii="Times New Roman" w:hAnsi="Times New Roman"/>
          <w:sz w:val="22"/>
        </w:rPr>
        <w:t>We have added referenced support for the existence and scope of the reproducibility crisis throughout the revised Introduction. Key additions include: Baker (2016) on the Nature survey showing &gt;70% of researchers failed to reproduce others' work [ref 1]; Ioannidis (2005) on why most published findings may be false [ref 2]; Freedman et al. (2015) on the economic cost [ref 3]; Nosek et al. (2015) on promoting open research culture [ref 4]; and illustrative case studies in Section 1.3 demonstrating concrete version-dependent reproducibility failures in computational biology, econometrics, and computational chemistry.</w:t>
      </w:r>
    </w:p>
    <w:p>
      <w:r>
        <w:rPr>
          <w:rFonts w:ascii="Times New Roman" w:hAnsi="Times New Roman"/>
          <w:b/>
          <w:color w:val="000080"/>
          <w:sz w:val="22"/>
        </w:rPr>
        <w:t xml:space="preserve">Editor Comment 4: </w:t>
      </w:r>
      <w:r>
        <w:rPr>
          <w:rFonts w:ascii="Times New Roman" w:hAnsi="Times New Roman"/>
          <w:i/>
          <w:color w:val="000080"/>
          <w:sz w:val="22"/>
        </w:rPr>
        <w:t>The concrete policy framework that the study seeks to deliver—delineated as formal and justified recommendation.</w:t>
      </w:r>
    </w:p>
    <w:p>
      <w:pPr>
        <w:spacing w:after="240"/>
      </w:pPr>
      <w:r>
        <w:rPr>
          <w:rFonts w:ascii="Times New Roman" w:hAnsi="Times New Roman"/>
          <w:sz w:val="22"/>
        </w:rPr>
        <w:t>We have completely restructured Section 4.4 ("Policy Recommendations") to present five numbered, formal recommendations, each accompanied by an explicit justification grounded in specific findings from this study: (1) Reproducibility Licences, (2) Mandatory Version Archiving, (3) Publisher-Mediated Licence Agreements, (4) Funding Agency Mandates, and (5) Investment in Open-Source Alternatives. Each recommendation now references specific data points (e.g. Table 2, Section 3.10, Section 3.11) and identifies the responsible stakeholder(s).</w:t>
      </w:r>
    </w:p>
    <w:p>
      <w:r>
        <w:rPr>
          <w:rFonts w:ascii="Times New Roman" w:hAnsi="Times New Roman"/>
          <w:b/>
          <w:color w:val="000080"/>
          <w:sz w:val="22"/>
        </w:rPr>
        <w:t xml:space="preserve">Editor Comment 5: </w:t>
      </w:r>
      <w:r>
        <w:rPr>
          <w:rFonts w:ascii="Times New Roman" w:hAnsi="Times New Roman"/>
          <w:i/>
          <w:color w:val="000080"/>
          <w:sz w:val="22"/>
        </w:rPr>
        <w:t>It still seems necessary to devote some additional space for definitions within the script, and not overly assume that certain terms 'speak for themselves'. The piece should be able to speak to non-specialist audiences to some extent.</w:t>
      </w:r>
    </w:p>
    <w:p>
      <w:pPr>
        <w:spacing w:after="240"/>
      </w:pPr>
      <w:r>
        <w:rPr>
          <w:rFonts w:ascii="Times New Roman" w:hAnsi="Times New Roman"/>
          <w:sz w:val="22"/>
        </w:rPr>
        <w:t>We have added a new Section 1.2 ("Definitions and Scope") that explicitly defines all key terms used in the paper: reproducibility, replicability, robustness (following the Nosek and Errington 2020 glossary), commercial software, open-source software, legacy version, and version accessibility gap. These definitions are introduced before any technical results and are written to be accessible to non-specialist readers.</w:t>
      </w:r>
    </w:p>
    <w:p>
      <w:r>
        <w:rPr>
          <w:rFonts w:ascii="Times New Roman" w:hAnsi="Times New Roman"/>
          <w:b/>
          <w:color w:val="000080"/>
          <w:sz w:val="22"/>
        </w:rPr>
        <w:t xml:space="preserve">Editor Comment 6: </w:t>
      </w:r>
      <w:r>
        <w:rPr>
          <w:rFonts w:ascii="Times New Roman" w:hAnsi="Times New Roman"/>
          <w:i/>
          <w:color w:val="000080"/>
          <w:sz w:val="22"/>
        </w:rPr>
        <w:t>Please ensure the results are accurately reported, any overstated conclusions are rewritten and the limitations of the work fully explained.</w:t>
      </w:r>
    </w:p>
    <w:p>
      <w:pPr>
        <w:spacing w:after="240"/>
      </w:pPr>
      <w:r>
        <w:rPr>
          <w:rFonts w:ascii="Times New Roman" w:hAnsi="Times New Roman"/>
          <w:sz w:val="22"/>
        </w:rPr>
        <w:t>We have made several changes to ensure accurate reporting and avoid overstatement. (1) Following Reviewer 1's suggestion, all software-related rates are now normalised to the 2,922 articles with detected software, rather than the full 10,000-article sample, providing more meaningful denominators. (2) The Conclusion (Section 5) has been rewritten with more measured language — e.g. "empirical evidence" rather than "first large-scale quantification", and "appear to be no longer available" rather than absolute claims. (3) The Limitations section (Section 4.5) has been substantially expanded from one paragraph to two, now covering seven specific limitations including pattern-matching caveats, PubMed coverage bias, cost estimation assumptions, income-group classification limitations, temporal specificity of vendor policies, and the distinction between "likely unavailable" and "confirmed impossible".</w:t>
      </w:r>
    </w:p>
    <w:p>
      <w:r>
        <w:br w:type="page"/>
      </w:r>
    </w:p>
    <w:p>
      <w:pPr>
        <w:pStyle w:val="Heading2"/>
      </w:pPr>
      <w:r>
        <w:rPr>
          <w:sz w:val="26"/>
        </w:rPr>
        <w:t>Response to Reviewer 1 Comments</w:t>
      </w:r>
    </w:p>
    <w:p>
      <w:r>
        <w:rPr>
          <w:rFonts w:ascii="Times New Roman" w:hAnsi="Times New Roman"/>
          <w:b/>
          <w:color w:val="000080"/>
          <w:sz w:val="22"/>
        </w:rPr>
        <w:t xml:space="preserve">Reviewer Comment 1: </w:t>
      </w:r>
      <w:r>
        <w:rPr>
          <w:rFonts w:ascii="Times New Roman" w:hAnsi="Times New Roman"/>
          <w:i/>
          <w:color w:val="000080"/>
          <w:sz w:val="22"/>
        </w:rPr>
        <w:t>For the seven strata defined on p. 4: could the authors clarify that these are the MeSH terms that you used to identify each field?</w:t>
      </w:r>
    </w:p>
    <w:p>
      <w:pPr>
        <w:spacing w:after="240"/>
      </w:pPr>
      <w:r>
        <w:rPr>
          <w:rFonts w:ascii="Times New Roman" w:hAnsi="Times New Roman"/>
          <w:sz w:val="22"/>
        </w:rPr>
        <w:t>We have added a detailed bulleted list to Section 2.1 that explicitly specifies the MeSH descriptors used in the PubMed query for each of the seven strata. For example, "Biomedical Basic: [Molecular Biology], [Genetics], [Biochemistry], [Cell Biology], [Microbiology]".</w:t>
      </w:r>
    </w:p>
    <w:p>
      <w:r>
        <w:rPr>
          <w:rFonts w:ascii="Times New Roman" w:hAnsi="Times New Roman"/>
          <w:b/>
          <w:color w:val="000080"/>
          <w:sz w:val="22"/>
        </w:rPr>
        <w:t xml:space="preserve">Reviewer Comment 2: </w:t>
      </w:r>
      <w:r>
        <w:rPr>
          <w:rFonts w:ascii="Times New Roman" w:hAnsi="Times New Roman"/>
          <w:i/>
          <w:color w:val="000080"/>
          <w:sz w:val="22"/>
        </w:rPr>
        <w:t>In Table 1 and Section 3.2 (throughout the manuscript really), it would probably make more sense to normalize rates by the number of papers with detected software, not by the total number of papers screened.</w:t>
      </w:r>
    </w:p>
    <w:p>
      <w:pPr>
        <w:spacing w:after="240"/>
      </w:pPr>
      <w:r>
        <w:rPr>
          <w:rFonts w:ascii="Times New Roman" w:hAnsi="Times New Roman"/>
          <w:sz w:val="22"/>
        </w:rPr>
        <w:t>We agree and have adopted this approach throughout the revised manuscript. All software-related rates (commercial software prevalence, version reporting rates) are now reported with the 2,922 software-detecting articles as the denominator. Table 1 has been updated to include both the total N and the software-detecting subset. Section 2.5 explains the rationale for this choice. For example, Section 3.2 now reads: "Among the 2,922 articles that reported software use, commercial software was detected in 1,853 (63.4%)" rather than the previous formulation based on the full 10,000-article sample.</w:t>
      </w:r>
    </w:p>
    <w:p>
      <w:r>
        <w:rPr>
          <w:rFonts w:ascii="Times New Roman" w:hAnsi="Times New Roman"/>
          <w:b/>
          <w:color w:val="000080"/>
          <w:sz w:val="22"/>
        </w:rPr>
        <w:t xml:space="preserve">Reviewer Comment 3: </w:t>
      </w:r>
      <w:r>
        <w:rPr>
          <w:rFonts w:ascii="Times New Roman" w:hAnsi="Times New Roman"/>
          <w:i/>
          <w:color w:val="000080"/>
          <w:sz w:val="22"/>
        </w:rPr>
        <w:t>Fig 2: it would help to be more precise in the figure title. Perhaps "Software declared in published research articles (2020–2026, 10,000 articles)".</w:t>
      </w:r>
    </w:p>
    <w:p>
      <w:pPr>
        <w:spacing w:after="240"/>
      </w:pPr>
      <w:r>
        <w:rPr>
          <w:rFonts w:ascii="Times New Roman" w:hAnsi="Times New Roman"/>
          <w:sz w:val="22"/>
        </w:rPr>
        <w:t>We have adopted the reviewer's suggestion. The figure title now reads: "Top 20 Software Declared in Published Research Articles (2020–2026)" with the sample size clearly indicated. This is now part of the combined Figure 2 (see Comment 4).</w:t>
      </w:r>
    </w:p>
    <w:p>
      <w:r>
        <w:rPr>
          <w:rFonts w:ascii="Times New Roman" w:hAnsi="Times New Roman"/>
          <w:b/>
          <w:color w:val="000080"/>
          <w:sz w:val="22"/>
        </w:rPr>
        <w:t xml:space="preserve">Reviewer Comment 4: </w:t>
      </w:r>
      <w:r>
        <w:rPr>
          <w:rFonts w:ascii="Times New Roman" w:hAnsi="Times New Roman"/>
          <w:i/>
          <w:color w:val="000080"/>
          <w:sz w:val="22"/>
        </w:rPr>
        <w:t>The authors might be able to combine Figure 2 and Figure 3 into one Figure. Even adding a row labelled "total" would be useful.</w:t>
      </w:r>
    </w:p>
    <w:p>
      <w:pPr>
        <w:spacing w:after="240"/>
      </w:pPr>
      <w:r>
        <w:rPr>
          <w:rFonts w:ascii="Times New Roman" w:hAnsi="Times New Roman"/>
          <w:sz w:val="22"/>
        </w:rPr>
        <w:t>We have combined the former Figures 2 and 3 into a single two-panel Figure 2: panel (a) shows the top 20 software tools (coloured by licence type), and panel (b) shows the usage heatmap across fields with a "Total" row added as suggested. This reduces the total figure count and improves readability. Subsequent figures have been renumbered accordingly.</w:t>
      </w:r>
    </w:p>
    <w:p>
      <w:r>
        <w:rPr>
          <w:rFonts w:ascii="Times New Roman" w:hAnsi="Times New Roman"/>
          <w:b/>
          <w:color w:val="000080"/>
          <w:sz w:val="22"/>
        </w:rPr>
        <w:t xml:space="preserve">Reviewer Comment 5: </w:t>
      </w:r>
      <w:r>
        <w:rPr>
          <w:rFonts w:ascii="Times New Roman" w:hAnsi="Times New Roman"/>
          <w:i/>
          <w:color w:val="000080"/>
          <w:sz w:val="22"/>
        </w:rPr>
        <w:t>"Among papers mentioning software, the mean proportion of software with associated version numbers was 17.0%". Is this true? This does not seem consistent with the percentages reported in Figure 4A.</w:t>
      </w:r>
    </w:p>
    <w:p>
      <w:pPr>
        <w:spacing w:after="240"/>
      </w:pPr>
      <w:r>
        <w:rPr>
          <w:rFonts w:ascii="Times New Roman" w:hAnsi="Times New Roman"/>
          <w:sz w:val="22"/>
        </w:rPr>
        <w:t>Thank you for catching this. The 17.0% figure was the overall mean version_mention_rate computed across all articles including those with zero software. After restricting to software-detecting articles (per Comment 2), the per-article mean version-reporting rate is now correctly computed and reported. Figure 3a (formerly Figure 4a) shows field-level version reporting rates among software-using articles, which are now consistent with the in-text statistics.</w:t>
      </w:r>
    </w:p>
    <w:p>
      <w:r>
        <w:rPr>
          <w:rFonts w:ascii="Times New Roman" w:hAnsi="Times New Roman"/>
          <w:b/>
          <w:color w:val="000080"/>
          <w:sz w:val="22"/>
        </w:rPr>
        <w:t xml:space="preserve">Reviewer Comment 6: </w:t>
      </w:r>
      <w:r>
        <w:rPr>
          <w:rFonts w:ascii="Times New Roman" w:hAnsi="Times New Roman"/>
          <w:i/>
          <w:color w:val="000080"/>
          <w:sz w:val="22"/>
        </w:rPr>
        <w:t>The in-figure title of Figure 4 still refers to Figure 3.</w:t>
      </w:r>
    </w:p>
    <w:p>
      <w:pPr>
        <w:spacing w:after="240"/>
      </w:pPr>
      <w:r>
        <w:rPr>
          <w:rFonts w:ascii="Times New Roman" w:hAnsi="Times New Roman"/>
          <w:sz w:val="22"/>
        </w:rPr>
        <w:t>This has been corrected. The internal titles of all figures now match their numbering in the manuscript text. All figures have been regenerated with consistent numbering.</w:t>
      </w:r>
    </w:p>
    <w:p>
      <w:r>
        <w:rPr>
          <w:rFonts w:ascii="Times New Roman" w:hAnsi="Times New Roman"/>
          <w:b/>
          <w:color w:val="000080"/>
          <w:sz w:val="22"/>
        </w:rPr>
        <w:t xml:space="preserve">Reviewer Comment 7: </w:t>
      </w:r>
      <w:r>
        <w:rPr>
          <w:rFonts w:ascii="Times New Roman" w:hAnsi="Times New Roman"/>
          <w:i/>
          <w:color w:val="000080"/>
          <w:sz w:val="22"/>
        </w:rPr>
        <w:t>"when researchers diligently report which software version they used, replication may be impossible because that version cannot be obtained." I would rephrase this "exact replication may be impossible". There is still some disagreement about the difference between the terms "reproducibility" and "replicability". I encourage the authors to define specific terms like "replicability" as they intend to use them.</w:t>
      </w:r>
    </w:p>
    <w:p>
      <w:pPr>
        <w:spacing w:after="240"/>
      </w:pPr>
      <w:r>
        <w:rPr>
          <w:rFonts w:ascii="Times New Roman" w:hAnsi="Times New Roman"/>
          <w:sz w:val="22"/>
        </w:rPr>
        <w:t>We have made both changes. (1) The phrase now reads "exact replication may be impossible" (Section 3.5). (2) We have added Section 1.2 ("Definitions and Scope") that explicitly defines reproducibility, replicability, and robustness following Nosek and Errington (2020) and the COS SCORE project glossary (https://doi.org/10.31222/osf.io/mqfp4_v1), as recommended. We clarify that our paper is primarily concerned with reproducibility — the ability to re-execute published analyses with the original data and methods.</w:t>
      </w:r>
    </w:p>
    <w:p>
      <w:r>
        <w:rPr>
          <w:rFonts w:ascii="Times New Roman" w:hAnsi="Times New Roman"/>
          <w:b/>
          <w:color w:val="000080"/>
          <w:sz w:val="22"/>
        </w:rPr>
        <w:t xml:space="preserve">Reviewer Comment 8: </w:t>
      </w:r>
      <w:r>
        <w:rPr>
          <w:rFonts w:ascii="Times New Roman" w:hAnsi="Times New Roman"/>
          <w:i/>
          <w:color w:val="000080"/>
          <w:sz w:val="22"/>
        </w:rPr>
        <w:t>Following on the results in section 3.8, I would actually encourage the authors to restrict their analysis to just articles for which the full text was available in PMC.</w:t>
      </w:r>
    </w:p>
    <w:p>
      <w:pPr>
        <w:spacing w:after="240"/>
      </w:pPr>
      <w:r>
        <w:rPr>
          <w:rFonts w:ascii="Times New Roman" w:hAnsi="Times New Roman"/>
          <w:sz w:val="22"/>
        </w:rPr>
        <w:t>We have added a formal sensitivity analysis (Section 3.9, Figure 8) that repeats the primary analyses restricted to the 4,816 articles with PMC full-text. The results are highly consistent with the full-sample findings (e.g. commercial software rate among software-using articles is comparable in both samples), supporting the generalisability of our results. We chose to present the full-sample analysis as the primary analysis with the PMC subset as a sensitivity analysis, as both provide complementary perspectives: the full sample captures the overall landscape (including articles where software may go undetected), while the PMC subset provides more complete detection. We note the reviewer's suggestion about analysing the full PMC Open Access subset as a promising direction for future work.</w:t>
      </w:r>
    </w:p>
    <w:p>
      <w:r>
        <w:rPr>
          <w:rFonts w:ascii="Times New Roman" w:hAnsi="Times New Roman"/>
          <w:b/>
          <w:color w:val="000080"/>
          <w:sz w:val="22"/>
        </w:rPr>
        <w:t xml:space="preserve">Reviewer Comment 9: </w:t>
      </w:r>
      <w:r>
        <w:rPr>
          <w:rFonts w:ascii="Times New Roman" w:hAnsi="Times New Roman"/>
          <w:i/>
          <w:color w:val="000080"/>
          <w:sz w:val="22"/>
        </w:rPr>
        <w:t>I appreciate that the authors have made their data available. For maximum usability, I encourage the authors to remove unrelated folders from the GitHub repo containing the code and data for this project.</w:t>
      </w:r>
    </w:p>
    <w:p>
      <w:pPr>
        <w:spacing w:after="240"/>
      </w:pPr>
      <w:r>
        <w:rPr>
          <w:rFonts w:ascii="Times New Roman" w:hAnsi="Times New Roman"/>
          <w:sz w:val="22"/>
        </w:rPr>
        <w:t>We appreciate this suggestion. We will ensure that the public repository contains only the files relevant to this study (data, analysis scripts, and figure generation code) prior to final publication. The Data Availability Statement has been updated to reflect the repository URL.</w:t>
      </w:r>
    </w:p>
    <w:p>
      <w:r>
        <w:rPr>
          <w:rFonts w:ascii="Times New Roman" w:hAnsi="Times New Roman"/>
          <w:b/>
          <w:color w:val="000080"/>
          <w:sz w:val="22"/>
        </w:rPr>
        <w:t xml:space="preserve">Reviewer Comment 10: </w:t>
      </w:r>
      <w:r>
        <w:rPr>
          <w:rFonts w:ascii="Times New Roman" w:hAnsi="Times New Roman"/>
          <w:i/>
          <w:color w:val="000080"/>
          <w:sz w:val="22"/>
        </w:rPr>
        <w:t>I see that the authors have metadata about the country of origin and funding agencies of each of the extracted articles. They should consider testing which funding agencies and countries are associated with higher rates of reporting (or higher commercial/non-commercial software use). The country of origin and funding (or lack thereof) might also provide additional evidence that commercial software restrictions represent a challenge to those in low- and middle-income countries, as the authors assert.</w:t>
      </w:r>
    </w:p>
    <w:p>
      <w:pPr>
        <w:spacing w:after="240"/>
      </w:pPr>
      <w:r>
        <w:rPr>
          <w:rFonts w:ascii="Times New Roman" w:hAnsi="Times New Roman"/>
          <w:sz w:val="22"/>
        </w:rPr>
        <w:t>We have added a comprehensive country/income-group analysis (Section 3.10, Figure 7). Using the World Bank income classification, we compared HIC- and LMIC-affiliated articles on three dimensions: commercial software dependency (among software-using articles), mean replication costs, and code availability statements. Key findings include: (1) LMIC researchers show comparable commercial software dependency to HIC researchers, (2) mean replication costs are in a similar range for both groups, and (3) LMIC researchers have substantially lower code availability rates, suggesting reduced access to reproducibility infrastructure that could offset commercial dependency. These findings are discussed in Section 4.2 and inform Recommendation 4 (Funding Agency Mandates) in Section 4.4.</w:t>
      </w:r>
    </w:p>
    <w:p>
      <w:r>
        <w:rPr>
          <w:rFonts w:ascii="Times New Roman" w:hAnsi="Times New Roman"/>
          <w:b/>
          <w:color w:val="000080"/>
          <w:sz w:val="22"/>
        </w:rPr>
        <w:t xml:space="preserve">Reviewer Comment 11: </w:t>
      </w:r>
      <w:r>
        <w:rPr>
          <w:rFonts w:ascii="Times New Roman" w:hAnsi="Times New Roman"/>
          <w:i/>
          <w:color w:val="000080"/>
          <w:sz w:val="22"/>
        </w:rPr>
        <w:t>Many open-source bioinformatics software are coded as "unknown" for their respective versions in extracted_data.csv. Does this mean that the authors only assessed commercially available prior versions? They should clarify this in the manuscript and adjust how these fields are labeled in the source data.</w:t>
      </w:r>
    </w:p>
    <w:p>
      <w:pPr>
        <w:spacing w:after="240"/>
      </w:pPr>
      <w:r>
        <w:rPr>
          <w:rFonts w:ascii="Times New Roman" w:hAnsi="Times New Roman"/>
          <w:sz w:val="22"/>
        </w:rPr>
        <w:t>Thank you for this important clarification. The "unknown" designation for open-source software versions means that version availability could not be confirmed through the official repository or source archive — for example, when version tags were absent or the detected version string could not be unambiguously matched to a release. This is now explicitly explained in Section 2.2, with the distinction between commercial and open-source version availability assessment clearly stated.</w:t>
      </w:r>
    </w:p>
    <w:p>
      <w:r>
        <w:rPr>
          <w:rFonts w:ascii="Times New Roman" w:hAnsi="Times New Roman"/>
          <w:b/>
          <w:color w:val="000080"/>
          <w:sz w:val="22"/>
        </w:rPr>
        <w:t xml:space="preserve">Reviewer Comment 12: </w:t>
      </w:r>
      <w:r>
        <w:rPr>
          <w:rFonts w:ascii="Times New Roman" w:hAnsi="Times New Roman"/>
          <w:i/>
          <w:color w:val="000080"/>
          <w:sz w:val="22"/>
        </w:rPr>
        <w:t>Could the authors elaborate on what exactly happened with the Mathematica v14.1 licensing change?</w:t>
      </w:r>
    </w:p>
    <w:p>
      <w:pPr>
        <w:spacing w:after="240"/>
      </w:pPr>
      <w:r>
        <w:rPr>
          <w:rFonts w:ascii="Times New Roman" w:hAnsi="Times New Roman"/>
          <w:sz w:val="22"/>
        </w:rPr>
        <w:t>We have substantially expanded the description of the Mathematica v14.1 licensing change in Section 3.11 (Vendor Policy Survey Results). The revised text explains: "In February 2025, a licensing mechanism change introduced with version 14.1 altered the activation infrastructure such that licence keys generated under the new system cannot activate releases prior to 14.1. For academic users whose institutions upgrade to the new licensing model, this means that legacy Mathematica installations become unactivatable, even if the user possesses a current subscription. The change was not announced as a deprecation of legacy support; it emerged as a practical consequence of backend licensing infrastructure modernisation."</w:t>
      </w:r>
    </w:p>
    <w:p>
      <w:r>
        <w:rPr>
          <w:rFonts w:ascii="Times New Roman" w:hAnsi="Times New Roman"/>
          <w:b/>
          <w:color w:val="000080"/>
          <w:sz w:val="22"/>
        </w:rPr>
        <w:t xml:space="preserve">Reviewer Comment 13: </w:t>
      </w:r>
      <w:r>
        <w:rPr>
          <w:rFonts w:ascii="Times New Roman" w:hAnsi="Times New Roman"/>
          <w:i/>
          <w:color w:val="000080"/>
          <w:sz w:val="22"/>
        </w:rPr>
        <w:t>This manuscript would benefit from describing case studies, in the Introduction or Discussion, that demonstrate to readers *why* version accessibility is so important.</w:t>
      </w:r>
    </w:p>
    <w:p>
      <w:pPr>
        <w:spacing w:after="240"/>
      </w:pPr>
      <w:r>
        <w:rPr>
          <w:rFonts w:ascii="Times New Roman" w:hAnsi="Times New Roman"/>
          <w:sz w:val="22"/>
        </w:rPr>
        <w:t>We have added a new Section 1.3 ("Why Version Accessibility Matters: Illustrative Cases") that presents three domain-specific case studies: (1) In computational biology, different versions of GATK produce substantially different variant calls from identical input data. (2) In econometrics, empirical testing revealed inconsistent regression outputs across Stata versions despite the built-in version lock command. (3) In computational chemistry, different Gaussian versions yield divergent optimised geometries for the same molecular system. These examples demonstrate that version accessibility is a prerequisite for rigorous reproducibility, not merely a matter of convenience.</w:t>
      </w:r>
    </w:p>
    <w:p>
      <w:r>
        <w:br w:type="page"/>
      </w:r>
    </w:p>
    <w:p>
      <w:pPr>
        <w:pStyle w:val="Heading2"/>
      </w:pPr>
      <w:r>
        <w:rPr>
          <w:sz w:val="26"/>
        </w:rPr>
        <w:t>Summary of Changes</w:t>
      </w:r>
    </w:p>
    <w:p>
      <w:pPr>
        <w:pStyle w:val="ListBullet"/>
      </w:pPr>
      <w:r>
        <w:rPr>
          <w:rFonts w:ascii="Times New Roman" w:hAnsi="Times New Roman"/>
          <w:sz w:val="20"/>
        </w:rPr>
        <w:t>New Section 1.1: Expanded crisis context with referenced support and stakeholder analysis</w:t>
      </w:r>
    </w:p>
    <w:p>
      <w:pPr>
        <w:pStyle w:val="ListBullet"/>
      </w:pPr>
      <w:r>
        <w:rPr>
          <w:rFonts w:ascii="Times New Roman" w:hAnsi="Times New Roman"/>
          <w:sz w:val="20"/>
        </w:rPr>
        <w:t>New Section 1.2: Explicit definitions of reproducibility, replicability, robustness, and key terms</w:t>
      </w:r>
    </w:p>
    <w:p>
      <w:pPr>
        <w:pStyle w:val="ListBullet"/>
      </w:pPr>
      <w:r>
        <w:rPr>
          <w:rFonts w:ascii="Times New Roman" w:hAnsi="Times New Roman"/>
          <w:sz w:val="20"/>
        </w:rPr>
        <w:t>New Section 1.3: Three illustrative case studies for version accessibility importance</w:t>
      </w:r>
    </w:p>
    <w:p>
      <w:pPr>
        <w:pStyle w:val="ListBullet"/>
      </w:pPr>
      <w:r>
        <w:rPr>
          <w:rFonts w:ascii="Times New Roman" w:hAnsi="Times New Roman"/>
          <w:sz w:val="20"/>
        </w:rPr>
        <w:t>Section 2.1: Detailed MeSH term specifications for each stratum</w:t>
      </w:r>
    </w:p>
    <w:p>
      <w:pPr>
        <w:pStyle w:val="ListBullet"/>
      </w:pPr>
      <w:r>
        <w:rPr>
          <w:rFonts w:ascii="Times New Roman" w:hAnsi="Times New Roman"/>
          <w:sz w:val="20"/>
        </w:rPr>
        <w:t>Section 2.2: Clarification of "unknown" designation for open-source version availability</w:t>
      </w:r>
    </w:p>
    <w:p>
      <w:pPr>
        <w:pStyle w:val="ListBullet"/>
      </w:pPr>
      <w:r>
        <w:rPr>
          <w:rFonts w:ascii="Times New Roman" w:hAnsi="Times New Roman"/>
          <w:sz w:val="20"/>
        </w:rPr>
        <w:t>New Section 2.4: Country/income-group classification methodology</w:t>
      </w:r>
    </w:p>
    <w:p>
      <w:pPr>
        <w:pStyle w:val="ListBullet"/>
      </w:pPr>
      <w:r>
        <w:rPr>
          <w:rFonts w:ascii="Times New Roman" w:hAnsi="Times New Roman"/>
          <w:sz w:val="20"/>
        </w:rPr>
        <w:t>Section 2.5: Explanation of denominator choice (software-detecting articles)</w:t>
      </w:r>
    </w:p>
    <w:p>
      <w:pPr>
        <w:pStyle w:val="ListBullet"/>
      </w:pPr>
      <w:r>
        <w:rPr>
          <w:rFonts w:ascii="Times New Roman" w:hAnsi="Times New Roman"/>
          <w:sz w:val="20"/>
        </w:rPr>
        <w:t>Table 1: Updated with normalised rates</w:t>
      </w:r>
    </w:p>
    <w:p>
      <w:pPr>
        <w:pStyle w:val="ListBullet"/>
      </w:pPr>
      <w:r>
        <w:rPr>
          <w:rFonts w:ascii="Times New Roman" w:hAnsi="Times New Roman"/>
          <w:sz w:val="20"/>
        </w:rPr>
        <w:t>Sections 3.2–3.4: All rates normalised to software-detecting articles</w:t>
      </w:r>
    </w:p>
    <w:p>
      <w:pPr>
        <w:pStyle w:val="ListBullet"/>
      </w:pPr>
      <w:r>
        <w:rPr>
          <w:rFonts w:ascii="Times New Roman" w:hAnsi="Times New Roman"/>
          <w:sz w:val="20"/>
        </w:rPr>
        <w:t>New Figure 2: Combined software landscape + heatmap with Total row (formerly Figs 2+3)</w:t>
      </w:r>
    </w:p>
    <w:p>
      <w:pPr>
        <w:pStyle w:val="ListBullet"/>
      </w:pPr>
      <w:r>
        <w:rPr>
          <w:rFonts w:ascii="Times New Roman" w:hAnsi="Times New Roman"/>
          <w:sz w:val="20"/>
        </w:rPr>
        <w:t>All figures renumbered and internal titles corrected</w:t>
      </w:r>
    </w:p>
    <w:p>
      <w:pPr>
        <w:pStyle w:val="ListBullet"/>
      </w:pPr>
      <w:r>
        <w:rPr>
          <w:rFonts w:ascii="Times New Roman" w:hAnsi="Times New Roman"/>
          <w:sz w:val="20"/>
        </w:rPr>
        <w:t>New Section 3.9 + Figure 8: PMC full-text sensitivity analysis</w:t>
      </w:r>
    </w:p>
    <w:p>
      <w:pPr>
        <w:pStyle w:val="ListBullet"/>
      </w:pPr>
      <w:r>
        <w:rPr>
          <w:rFonts w:ascii="Times New Roman" w:hAnsi="Times New Roman"/>
          <w:sz w:val="20"/>
        </w:rPr>
        <w:t>New Section 3.10 + Figure 7: Country/income-group analysis</w:t>
      </w:r>
    </w:p>
    <w:p>
      <w:pPr>
        <w:pStyle w:val="ListBullet"/>
      </w:pPr>
      <w:r>
        <w:rPr>
          <w:rFonts w:ascii="Times New Roman" w:hAnsi="Times New Roman"/>
          <w:sz w:val="20"/>
        </w:rPr>
        <w:t>Section 3.11: Expanded Mathematica v14.1 description</w:t>
      </w:r>
    </w:p>
    <w:p>
      <w:pPr>
        <w:pStyle w:val="ListBullet"/>
      </w:pPr>
      <w:r>
        <w:rPr>
          <w:rFonts w:ascii="Times New Roman" w:hAnsi="Times New Roman"/>
          <w:sz w:val="20"/>
        </w:rPr>
        <w:t>Section 4.4: Formalised five numbered policy recommendations with justifications</w:t>
      </w:r>
    </w:p>
    <w:p>
      <w:pPr>
        <w:pStyle w:val="ListBullet"/>
      </w:pPr>
      <w:r>
        <w:rPr>
          <w:rFonts w:ascii="Times New Roman" w:hAnsi="Times New Roman"/>
          <w:sz w:val="20"/>
        </w:rPr>
        <w:t>Section 4.5: Expanded limitations (now seven specific limitations across two paragraphs)</w:t>
      </w:r>
    </w:p>
    <w:p>
      <w:pPr>
        <w:pStyle w:val="ListBullet"/>
      </w:pPr>
      <w:r>
        <w:rPr>
          <w:rFonts w:ascii="Times New Roman" w:hAnsi="Times New Roman"/>
          <w:sz w:val="20"/>
        </w:rPr>
        <w:t>Section 5: Tempered conclusions with more measured language</w:t>
      </w:r>
    </w:p>
    <w:p>
      <w:pPr>
        <w:pStyle w:val="ListBullet"/>
      </w:pPr>
      <w:r>
        <w:rPr>
          <w:rFonts w:ascii="Times New Roman" w:hAnsi="Times New Roman"/>
          <w:sz w:val="20"/>
        </w:rPr>
        <w:t>References: Updated and expanded (now 18 references; 6 removed, 9 added)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