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Editable preparation tables</w:t>
      </w:r>
    </w:p>
    <w:p>
      <w:r>
        <w:t>Table 1 is the observed source audit; Table S11 is analytic planning only.</w:t>
      </w:r>
    </w:p>
    <w:p>
      <w:pPr>
        <w:keepNext/>
        <w:spacing w:before="280" w:after="160"/>
      </w:pPr>
      <w:r>
        <w:rPr>
          <w:i/>
        </w:rPr>
        <w:t>Table 1. Observed deposited corpus 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Recorded EPJ field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Source rows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Unique PMIDs within field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Biomedical Basic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Clinical Medicine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Chemistry Materials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Physics Engineering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1428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Social Behavioral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Computational Science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1429</w:t>
            </w:r>
          </w:p>
        </w:tc>
      </w:tr>
      <w:tr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Environmental Earth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1426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1423</w:t>
            </w:r>
          </w:p>
        </w:tc>
      </w:tr>
    </w:tbl>
    <w:p>
      <w:pPr>
        <w:keepNext/>
        <w:spacing w:before="280" w:after="160"/>
      </w:pPr>
      <w:r>
        <w:rPr>
          <w:i/>
        </w:rPr>
        <w:t>Table S3. Main-cohort paper dispositions (delegated; human adjudication pending).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Disposition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Papers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attempted failure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not attempted all inputs leak target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not attempted external reference resource required not served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28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not attempted gate failed delegated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not attempted no input retained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not attempted required inputs not in public listing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not attempted specification not obtained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not attempted target value not located verbatim</w:t>
            </w:r>
          </w:p>
        </w:tc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4</w:t>
            </w:r>
          </w:p>
        </w:tc>
      </w:tr>
    </w:tbl>
    <w:p>
      <w:pPr>
        <w:keepNext/>
        <w:spacing w:before="280" w:after="160"/>
      </w:pPr>
      <w:r>
        <w:rPr>
          <w:i/>
        </w:rPr>
        <w:t>Table S4. Run-level L1–L5 states across 30 sealed slots.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Level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State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Runs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L1 specification extracted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no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L1 specification extracted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yes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L2 implementation created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not reached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L2 implementation created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yes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L3 execution successful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not established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L3 execution successful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not reached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L3 execution successful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yes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L4 numerical target reproduced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no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L4 numerical target reproduced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not established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L4 numerical target reproduced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yes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L5 conclusion preserved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not assessable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L5 conclusion preserved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pending human adjudication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1</w:t>
            </w:r>
          </w:p>
        </w:tc>
      </w:tr>
    </w:tbl>
    <w:p>
      <w:pPr>
        <w:keepNext/>
        <w:spacing w:before="280" w:after="160"/>
      </w:pPr>
      <w:r>
        <w:rPr>
          <w:i/>
        </w:rPr>
        <w:t>Table S5. Failure taxonomy codes by run and by paper.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Code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Runs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Papers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F01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5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F03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F13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19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F15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F20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2</w:t>
            </w:r>
          </w:p>
        </w:tc>
      </w:tr>
    </w:tbl>
    <w:p>
      <w:pPr>
        <w:keepNext/>
        <w:spacing w:before="280" w:after="160"/>
      </w:pPr>
      <w:r>
        <w:rPr>
          <w:i/>
        </w:rPr>
        <w:t>Table S6. Descriptive original-code reveal ledger (post-seal, not executed).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Paper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Dimension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Completeness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PMID:33072212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PMID:34495251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PMID:34731224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PMID:39830509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PMID:39895948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normalization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located in retained repository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filtering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located in retained repository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missing data handling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located in retained repository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initialization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simulation initialises each deme with msprime PopulationConfiguration(initial size=n e); n e defaults to 1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random seeds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sample sizes drawn with np.random.binomial without a seed argument in the retained sim.py; no fixed seed located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stopping criteria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located for the simulation study; optimizer stopping lives in the estimation code and was not traced to the scenario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defaults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simulate genotypes w admixture defaults: chrom length=1, mu=1e-3, n e=1, target n snps=1000, n print=50, admixture props=[0], time of adm=[1], replic=0, dump=False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preprocessing order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located in retained repository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exclusions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located in retained repository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constants and thresholds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setup graph defaults barrier w=0.1, corridor w=0.5; admixture proportion enters as MassMigration proportion=admixture props[i]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boundaries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setup graph grid defaults n rows=8, n columns=12; scenario grids for the published simulation not located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software versions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requirements.txt pins msprime==1.0.0, numpy==1.18.5, scipy==1.5.0, scikit-learn==0.23.1, networkx==2.4.0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PMID:40956867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manual transformations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scenario-driving scripts for the dense-sampling / c=0.5 scenario were not located in either retained archive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normalization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loads pre-computed LDSC output (LDSC ADGWAX QTRAIT.RData); no normalisation step in the deposited scripts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filtering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none in the deposited scripts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missing data handling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addressed in the deposited scripts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initialization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GenomicSEM usermodel defaults; no explicit start values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random seeds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 set.seed in either script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stopping criteria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GenomicSEM/lavaan optimizer defaults; not set in scripts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defaults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QTrait(mresid=0.25, mresidthreshold=0.10, lsrmr=0.25, lsrmrthreshold=0.10, save.plots=TRUE, stdout=FALSE)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preprocessing order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indicators = first 3 columns of S; traits = remaining columns; common-factor model then common-pathway and independent-pathway models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exclusions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none in scripts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constants and thresholds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estimation="DWLS"; CFM std.lv=T, imp cov=F; CPM/IPM std.lv=F, imp cov as coded; residual thresholds as in defaults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boundaries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applicable in scripts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software versions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header states R (&gt;= 4.0); GenomicSEM version not pinned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manual transformations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results written to CSV; no manual step described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PMID:41472739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PMID:41563087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available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normalization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DESeq2 DESeq() default size-factor normalisation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filtering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genes with rowSums(counts) &gt; number of samples retained in the interactive path; report scripts use rowSums(counts) &gt; 10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missing data handling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results rows with NA removed by na.omit() before thresholding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initialization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DESeq2 defaults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random seeds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none set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stopping criteria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DESeq2 defaults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defaults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UI defaults adjusted p &lt; 0.05 and |log2FC| &gt; 1; design columns, contrast column and levels are user-selected at run time and are not recorded in the repository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preprocessing order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DESeqDataSetFromMatrix -&gt; low-count filter -&gt; DESeq -&gt; results(contrast) -&gt; na.omit -&gt; threshold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exclusions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low-count genes only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constants and thresholds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padj cutoff and log2FC cutoff are interactive inputs; defaults 0.05 and 1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boundaries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slider ranges 0-0.2 (padj) and 0-3 (log2FC)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software versions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no lockfile or sessionInfo in the retained archive</w:t>
            </w:r>
          </w:p>
        </w:tc>
      </w:tr>
      <w:tr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described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manual transformations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ambiguous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count matrix and metadata uploaded interactively; the exact uploaded files and selections used for the published counts are not recorded</w:t>
            </w:r>
          </w:p>
        </w:tc>
      </w:tr>
    </w:tbl>
    <w:p>
      <w:pPr>
        <w:keepNext/>
        <w:spacing w:before="280" w:after="160"/>
      </w:pPr>
      <w:r>
        <w:rPr>
          <w:i/>
        </w:rPr>
        <w:t>Table S7. Paper-level successful-slot distribution among 10 attempted papers: frozen mechanical versus verification-adjusted (AI-assisted review, provisional).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Successful slots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Frozen papers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Adjusted papers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0/3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9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1/3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2/3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0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3/3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0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0</w:t>
            </w:r>
          </w:p>
        </w:tc>
      </w:tr>
    </w:tbl>
    <w:p>
      <w:pPr>
        <w:keepNext/>
        <w:spacing w:before="280" w:after="160"/>
      </w:pPr>
      <w:r>
        <w:rPr>
          <w:i/>
        </w:rPr>
        <w:t>Table S8. 100-paper funnel by state: frozen record, verification-adjusted state and unresolved envelope (no reclassified paper was executed).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State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Frozen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Adjusted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Envelope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all inputs leak target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10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external reference resource required not served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28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28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28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gate failed delegated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24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25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no input retained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required inputs not in public listing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16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17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slots completed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10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10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specifiable runnable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0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5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specification not obtained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7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7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target value not located verbatim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4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4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520"/>
          </w:tcPr>
          <w:p>
            <w:pPr>
              <w:keepNext w:val="0"/>
            </w:pPr>
            <w:r>
              <w:rPr>
                <w:sz w:val="18"/>
              </w:rPr>
              <w:t>unresolved</w:t>
            </w:r>
          </w:p>
        </w:tc>
        <w:tc>
          <w:tcPr>
            <w:tcW w:type="dxa" w:w="2520"/>
          </w:tcPr>
          <w:p>
            <w:pPr>
              <w:keepNext w:val="0"/>
            </w:pPr>
            <w:r>
              <w:rPr>
                <w:sz w:val="18"/>
              </w:rPr>
              <w:t>0</w:t>
            </w:r>
          </w:p>
        </w:tc>
        <w:tc>
          <w:tcPr>
            <w:tcW w:type="dxa" w:w="2520"/>
          </w:tcPr>
          <w:p>
            <w:pPr>
              <w:keepNext w:val="0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</w:tcPr>
          <w:p>
            <w:pPr>
              <w:keepNext w:val="0"/>
            </w:pPr>
            <w:r>
              <w:rPr>
                <w:sz w:val="18"/>
              </w:rPr>
              <w:t>9</w:t>
            </w:r>
          </w:p>
        </w:tc>
      </w:tr>
    </w:tbl>
    <w:p>
      <w:pPr>
        <w:keepNext/>
        <w:spacing w:before="280" w:after="160"/>
      </w:pPr>
      <w:r>
        <w:rPr>
          <w:i/>
        </w:rPr>
        <w:t>Table S9. Descriptive reveal completeness corrections proposed by the E review (papers with a code route only; descriptive, not executed).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Paper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Dimension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Frozen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Adjusted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exclusions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filtering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manual transformations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not reported</w:t>
            </w:r>
          </w:p>
        </w:tc>
      </w:tr>
      <w:tr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PMID:41091855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normalization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520"/>
          </w:tcPr>
          <w:p>
            <w:pPr>
              <w:keepNext/>
            </w:pPr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520"/>
          </w:tcPr>
          <w:p>
            <w:pPr>
              <w:keepNext w:val="0"/>
            </w:pPr>
            <w:r>
              <w:rPr>
                <w:sz w:val="18"/>
              </w:rPr>
              <w:t>PMID:41677189</w:t>
            </w:r>
          </w:p>
        </w:tc>
        <w:tc>
          <w:tcPr>
            <w:tcW w:type="dxa" w:w="2520"/>
          </w:tcPr>
          <w:p>
            <w:pPr>
              <w:keepNext w:val="0"/>
            </w:pPr>
            <w:r>
              <w:rPr>
                <w:sz w:val="18"/>
              </w:rPr>
              <w:t>exclusions</w:t>
            </w:r>
          </w:p>
        </w:tc>
        <w:tc>
          <w:tcPr>
            <w:tcW w:type="dxa" w:w="2520"/>
          </w:tcPr>
          <w:p>
            <w:pPr>
              <w:keepNext w:val="0"/>
            </w:pPr>
            <w:r>
              <w:rPr>
                <w:sz w:val="18"/>
              </w:rPr>
              <w:t>explicit</w:t>
            </w:r>
          </w:p>
        </w:tc>
        <w:tc>
          <w:tcPr>
            <w:tcW w:type="dxa" w:w="2520"/>
          </w:tcPr>
          <w:p>
            <w:pPr>
              <w:keepNext w:val="0"/>
            </w:pPr>
            <w:r>
              <w:rPr>
                <w:sz w:val="18"/>
              </w:rPr>
              <w:t>partial</w:t>
            </w:r>
          </w:p>
        </w:tc>
      </w:tr>
    </w:tbl>
    <w:p>
      <w:pPr>
        <w:keepNext/>
        <w:spacing w:before="280" w:after="160"/>
      </w:pPr>
      <w:r>
        <w:rPr>
          <w:i/>
        </w:rPr>
        <w:t>Table S10. Human validation (Section D): PENDING — no participant, case or outcome data exist.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Item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Cases completed</w:t>
            </w:r>
          </w:p>
        </w:tc>
        <w:tc>
          <w:tcPr>
            <w:tcW w:type="dxa" w:w="5040"/>
          </w:tcPr>
          <w:p>
            <w:pPr>
              <w:keepNext w:val="0"/>
            </w:pPr>
            <w:r>
              <w:rPr>
                <w:sz w:val="18"/>
              </w:rPr>
              <w:t>0 (pending external human validation)</w:t>
            </w:r>
          </w:p>
        </w:tc>
      </w:tr>
    </w:tbl>
    <w:p>
      <w:pPr>
        <w:keepNext/>
        <w:spacing w:before="280" w:after="160"/>
      </w:pPr>
      <w:r>
        <w:rPr>
          <w:i/>
        </w:rPr>
        <w:t>Table S1. Conceptual mapping of reproducibility requirements to framework stages. ACCESS is refined into resource accessibility, input-state identifiability and historical-state retrievability; the mapping is conceptual, not an empirical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Requirement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Stage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repository/accession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ACCESS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identify data source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release/version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ACCESS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identify exact dataset state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retrieval date/time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ACCESS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anchor dynamic resource state in time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exact query/API parameters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ACCESS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reconstruct query-generated input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file list/schema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ACCESS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fix input composition/structure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SHA-256/content hash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ACCESS / REPRODUCE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verify byte-level identity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transformation log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RECONSTRUCT / REPRODUCE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trace derivation from raw to analytical input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license/redistribution status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ACCESS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explain why exact snapshot can or cannot be redistributed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code availability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ACCESS (artifact access)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locate the original implementation; artifact reproducibility only, deliberately excluded from the Paper II blind intervention and used solely as a descriptive characteristic and post-seal reveal resource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software/version reporting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ACCESS / EXECUTE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identify the executable environment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container/environment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EXECUTE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reinstate the execution environment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detailed Methods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RECONSTRUCT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specify the procedure well enough to implement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parameters/defaults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RECONSTRUCT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fix analytical choices that change results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random seed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EXECUTE / REPRODUCE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control stochastic variation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resource requirements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EXECUTE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state compute, memory and time needed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independent reconstruction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RECONSTRUCT → REPRODUCE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test the description itself</w:t>
            </w:r>
          </w:p>
        </w:tc>
      </w:tr>
      <w:tr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robustness testing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ROBUST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vary reasonable choices (Paper III; excluded here)</w:t>
            </w:r>
          </w:p>
        </w:tc>
      </w:tr>
    </w:tbl>
    <w:p>
      <w:pPr>
        <w:keepNext/>
        <w:spacing w:before="280" w:after="160"/>
      </w:pPr>
      <w:r>
        <w:rPr>
          <w:i/>
        </w:rPr>
        <w:t>Table S2. ACCESS-stage input-state fields as recorded in the frozen main-study records (descriptive; fields not recorded are reported as such; no dataset drift was measured).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Item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Value as recorded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repository/accession recorded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100/100 papers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delegated specification listing (100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repository kinds in listings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bioproject 10; dataverse 4; dryad 13; figshare 25; geo 70; osf 2; sra study 5; zenodo 19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delegated specification listing (100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file list recorded in listing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89/100 papers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delegated specification listing (100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external public reference resources named by specifier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119 entries in 51 papers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delegated specification listing (100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reference version/release recorded by the specifier from publication text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100/119 entries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delegated specification listing (100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reference version/release not specified in publication text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19/119 entries (11 papers with at least one)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delegated specification listing (100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not run because an external public reference resource was required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28/100 papers (frozen barrier state, unchanged)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paper status.json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served inputs with SHA-256 recorded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21/21 files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frozen target packages and retrieval ledger (10 attempted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served inputs with retrieval timestamp recorded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21/21 files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frozen target packages and retrieval ledger (10 attempted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served inputs with repository-announced checksum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7/21 files; 7 matched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frozen target packages and retrieval ledger (10 attempted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repository version/release identifier of served inputs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not recorded (live service snapshots)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frozen target packages and retrieval ledger (10 attempted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query/API parameters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anonymous GET of listed files; no query-generated input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frozen target packages and retrieval ledger (10 attempted papers)</w:t>
            </w:r>
          </w:p>
        </w:tc>
      </w:tr>
      <w:tr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schema/release identifier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not recorded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sz w:val="18"/>
              </w:rPr>
              <w:t>frozen target packages and retrieval ledger (10 attempted papers)</w:t>
            </w:r>
          </w:p>
        </w:tc>
      </w:tr>
      <w:tr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historical version check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not assessed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sz w:val="18"/>
              </w:rPr>
              <w:t>frozen target packages and retrieval ledger (10 attempted papers)</w:t>
            </w:r>
          </w:p>
        </w:tc>
      </w:tr>
    </w:tbl>
    <w:p>
      <w:pPr>
        <w:keepNext/>
        <w:spacing w:before="280" w:after="160"/>
      </w:pPr>
      <w:r>
        <w:rPr>
          <w:i/>
        </w:rPr>
        <w:t>Table S11. Analytic Wilson precision planning.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Planned n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Assumed p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95% lower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95% upper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Half-width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0.2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0.133366933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0.288829166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0.077731116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0.3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0.218948853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0.395848546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0.088449847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0.5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0.403831530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0.596168470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0.096168470</w:t>
            </w:r>
          </w:p>
        </w:tc>
      </w:tr>
      <w:tr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0.604151454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0.781051147</w:t>
            </w:r>
          </w:p>
        </w:tc>
        <w:tc>
          <w:tcPr>
            <w:tcW w:type="dxa" w:w="2016"/>
          </w:tcPr>
          <w:p>
            <w:pPr>
              <w:keepNext/>
            </w:pPr>
            <w:r>
              <w:rPr>
                <w:sz w:val="18"/>
              </w:rPr>
              <w:t>0.088449847</w:t>
            </w:r>
          </w:p>
        </w:tc>
      </w:tr>
      <w:tr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0.8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0.711170834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0.866633067</w:t>
            </w:r>
          </w:p>
        </w:tc>
        <w:tc>
          <w:tcPr>
            <w:tcW w:type="dxa" w:w="2016"/>
          </w:tcPr>
          <w:p>
            <w:pPr>
              <w:keepNext w:val="0"/>
            </w:pPr>
            <w:r>
              <w:rPr>
                <w:sz w:val="18"/>
              </w:rPr>
              <w:t>0.077731116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A3412"/>
        <w:sz w:val="16"/>
      </w:rPr>
      <w:t>DRAFT — NOT SUBMISSION READY: main study sealed; delegated mechanical adjudication; A/B/C/E AI-assisted review imported as a provisional sensitivity layer; investigator sign-off, human adjudication and human validation (Section D) pending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DRAFT — NOT SUBMISSION READY: main study sealed; delegated mechanical adjudication; A/B/C/E AI-assisted review imported as a provisional sensitivity layer; investigator sign-off, human adjudication and human validation (Section D) pending</dc:subject>
  <dc:creator>Paper II draft; authorship not finalized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