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preparation tables</w:t>
      </w:r>
    </w:p>
    <w:p>
      <w:r>
        <w:t>Table 1 is the observed source audit; Table S1 is analytic planning only.</w:t>
      </w:r>
    </w:p>
    <w:p>
      <w:pPr>
        <w:keepNext/>
        <w:spacing w:before="280" w:after="160"/>
      </w:pPr>
      <w:r>
        <w:rPr>
          <w:i/>
        </w:rPr>
        <w:t>Table 1. Observed deposited corpus structure.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Recorded EPJ field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 rows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Unique PMIDs within field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Biomedical Basic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Clinical Medicine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Chemistry Materials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Physics Engineering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1428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Social Behavioral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Computational Science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1429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Environmental Earth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1426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1423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pPr>
        <w:keepNext/>
        <w:spacing w:before="280" w:after="160"/>
      </w:pPr>
      <w:r>
        <w:rPr>
          <w:i/>
        </w:rPr>
        <w:t>Table 6. Paper-level successful-slot distribution among 10 attempted papers: frozen mechanical versus verification-adjusted (AI-assisted review, provisional).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Successful slots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Adjusted 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3/3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</w:tr>
    </w:tbl>
    <w:p>
      <w:pPr>
        <w:keepNext/>
        <w:spacing w:before="280" w:after="160"/>
      </w:pPr>
      <w:r>
        <w:rPr>
          <w:i/>
        </w:rPr>
        <w:t>Table 7. 100-paper funnel by state: frozen record, verification-adjusted state and unresolved envelope (no reclassified paper was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Envelope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all inputs leak target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external reference resource required not served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gate failed delegated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 input retained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required inputs not in public listing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slots completed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specifiable runnable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specification not obtained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target value not located verbatim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unresolved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9</w:t>
            </w:r>
          </w:p>
        </w:tc>
      </w:tr>
    </w:tbl>
    <w:p>
      <w:pPr>
        <w:keepNext/>
        <w:spacing w:before="280" w:after="160"/>
      </w:pPr>
      <w:r>
        <w:rPr>
          <w:i/>
        </w:rPr>
        <w:t>Table 8. Descriptive reveal completeness corrections proposed by the E review (papers with a code route only; descriptive,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partial</w:t>
            </w:r>
          </w:p>
        </w:tc>
      </w:tr>
    </w:tbl>
    <w:p>
      <w:pPr>
        <w:keepNext/>
        <w:spacing w:before="280" w:after="160"/>
      </w:pPr>
      <w:r>
        <w:rPr>
          <w:i/>
        </w:rPr>
        <w:t>Table 9. Human validation (Section D): PENDING — no participant, case or outcome data exist.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Value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Cases completed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0 (pending external human validation)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10. Conceptual mapping of reproducibility requirements to framework stages. ACCESS is refined into resource accessibility, input-state identifiability and historical-state retrievability; the mapping is conceptual, not an empirical result.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Requirement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Stage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data 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release/version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exact dataset state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retrieval date/time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anchor dynamic resource state in time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exact 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query-generated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list/schema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input composition/structure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SHA-256/content hash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verify byte-level identity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transformation log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trace derivation from raw to analytical input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license/redistribution status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explain why exact snapshot can or cannot be redistributed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 availability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(artifact access)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locate the original implementation; artifact reproducibility only, deliberately excluded from the Paper II blind intervention and used solely as a descriptive characteristic and post-seal reveal resource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software/version reporting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ACCESS / 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identify the executable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container/environment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reinstate the execution environment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detailed Methods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specify the procedure well enough to implement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parameters/defaults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fix analytical choices that change results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random seed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 /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control stochastic variation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resource requirements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EXECUTE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 compute, memory and time needed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independent reconstruction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RECONSTRUCT → REPRODUCE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test the description itself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robustness testing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ROBUST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vary reasonable choices (Paper III; excluded here)</w:t>
            </w:r>
          </w:p>
        </w:tc>
      </w:tr>
    </w:tbl>
    <w:p>
      <w:pPr>
        <w:keepNext/>
        <w:spacing w:before="280" w:after="160"/>
      </w:pPr>
      <w:r>
        <w:rPr>
          <w:i/>
        </w:rPr>
        <w:t>Table 11. ACCESS-stage input-state fields as recorded in the frozen main-study records (descriptive; fields not recorded are reported as such; no dataset drift was measured).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Value as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Source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repository/accession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kinds in listings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bioproject 10; dataverse 4; dryad 13; figshare 25; geo 70; osf 2; sra study 5; zenodo 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file list recorded in listing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89/100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external public reference resources named by specifier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119 entries in 51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recorded by the specifier from publication text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100/119 entries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reference version/release not specified in publication text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19/119 entries (11 papers with at least one)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delegated specification listing (100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run because an external public reference resource was required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28/100 papers (frozen barrier state, unchanged)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 status.json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SHA-256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retrieval timestamp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21/21 files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served inputs with repository-announced checksum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7/21 files; 7 matched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repository version/release identifier of served inputs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 (live service snapshots)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query/API parameters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anonymous GET of listed files; no query-generated input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schema/release identifier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recorded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historical version check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not assessed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frozen target packages and retrieval ledger (10 attempted papers)</w:t>
            </w:r>
          </w:p>
        </w:tc>
      </w:tr>
    </w:tbl>
    <w:p>
      <w:pPr>
        <w:keepNext/>
        <w:spacing w:before="280" w:after="160"/>
      </w:pPr>
      <w:r>
        <w:rPr>
          <w:i/>
        </w:rPr>
        <w:t>Table S1. Analytic Wilson precision planning.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DRAFT — NOT SUBMISSION READY: main study sealed; delegated mechanical adjudication; A/B/C/E AI-assisted review imported as a provisional sensitivity layer; investigator sign-off, human adjudication and human validation (Section D) pending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DRAFT — NOT SUBMISSION READY: main study sealed; delegated mechanical adjudication; A/B/C/E AI-assisted review imported as a provisional sensitivity layer; investigator sign-off, human adjudication and human validation (Section D) pending</dc:subject>
  <dc:creator>Paper II draft;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