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preparation tables</w:t>
      </w:r>
    </w:p>
    <w:p>
      <w:r>
        <w:t>Table 1 is the observed source audit; Table S1 is analytic planning only.</w:t>
      </w:r>
    </w:p>
    <w:p>
      <w:pPr>
        <w:keepNext/>
        <w:spacing w:before="280" w:after="160"/>
      </w:pPr>
      <w:r>
        <w:rPr>
          <w:i/>
        </w:rPr>
        <w:t>Table 1. Observed deposited corpus structure.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Recorded EPJ field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 rows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Unique PMIDs within field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Biomedical Basic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Clinical Medicine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Chemistry Materials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Physics Engineering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1428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Social Behavioral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Computational Science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Environmental Earth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1426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1423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pPr>
        <w:keepNext/>
        <w:spacing w:before="280" w:after="160"/>
      </w:pPr>
      <w:r>
        <w:rPr>
          <w:i/>
        </w:rPr>
        <w:t>Table S1. Analytic Wilson precision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