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Paper II — draft protocols and preparation supplement</w:t>
      </w:r>
    </w:p>
    <w:p>
      <w:r>
        <w:t>PREPARATION DRAFT — NOT SUBMISSION READY</w:t>
      </w:r>
    </w:p>
    <w:p>
      <w:r>
        <w:t>Table S1 gives analytic precision planning at assumed proportions. These values are not observed outcomes and do not replace design-based intervals.</w:t>
      </w:r>
    </w:p>
    <w:p>
      <w:pPr>
        <w:keepNext/>
        <w:spacing w:before="280" w:after="160"/>
      </w:pPr>
      <w:r>
        <w:rPr>
          <w:i/>
        </w:rPr>
        <w:t>Table S1. Wilson planning intervals (unweighted binomial reference).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16"/>
        <w:gridCol w:w="2016"/>
        <w:gridCol w:w="2016"/>
        <w:gridCol w:w="2016"/>
        <w:gridCol w:w="2016"/>
      </w:tblGrid>
      <w:tr>
        <w:tc>
          <w:tcPr>
            <w:tcW w:type="dxa" w:w="2016"/>
          </w:tcPr>
          <w:p>
            <w:pPr>
              <w:keepNext/>
            </w:pPr>
            <w:r>
              <w:rPr>
                <w:sz w:val="18"/>
              </w:rPr>
              <w:t>Planned n</w:t>
            </w:r>
          </w:p>
        </w:tc>
        <w:tc>
          <w:tcPr>
            <w:tcW w:type="dxa" w:w="2016"/>
          </w:tcPr>
          <w:p>
            <w:pPr>
              <w:keepNext/>
            </w:pPr>
            <w:r>
              <w:rPr>
                <w:sz w:val="18"/>
              </w:rPr>
              <w:t>Assumed p</w:t>
            </w:r>
          </w:p>
        </w:tc>
        <w:tc>
          <w:tcPr>
            <w:tcW w:type="dxa" w:w="2016"/>
          </w:tcPr>
          <w:p>
            <w:pPr>
              <w:keepNext/>
            </w:pPr>
            <w:r>
              <w:rPr>
                <w:sz w:val="18"/>
              </w:rPr>
              <w:t>95% lower</w:t>
            </w:r>
          </w:p>
        </w:tc>
        <w:tc>
          <w:tcPr>
            <w:tcW w:type="dxa" w:w="2016"/>
          </w:tcPr>
          <w:p>
            <w:pPr>
              <w:keepNext/>
            </w:pPr>
            <w:r>
              <w:rPr>
                <w:sz w:val="18"/>
              </w:rPr>
              <w:t>95% upper</w:t>
            </w:r>
          </w:p>
        </w:tc>
        <w:tc>
          <w:tcPr>
            <w:tcW w:type="dxa" w:w="2016"/>
          </w:tcPr>
          <w:p>
            <w:pPr>
              <w:keepNext/>
            </w:pPr>
            <w:r>
              <w:rPr>
                <w:sz w:val="18"/>
              </w:rPr>
              <w:t>Half-width</w:t>
            </w:r>
          </w:p>
        </w:tc>
      </w:tr>
      <w:tr>
        <w:tc>
          <w:tcPr>
            <w:tcW w:type="dxa" w:w="2016"/>
          </w:tcPr>
          <w:p>
            <w:pPr>
              <w:keepNext/>
            </w:pPr>
            <w:r>
              <w:rPr>
                <w:sz w:val="18"/>
              </w:rPr>
              <w:t>100</w:t>
            </w:r>
          </w:p>
        </w:tc>
        <w:tc>
          <w:tcPr>
            <w:tcW w:type="dxa" w:w="2016"/>
          </w:tcPr>
          <w:p>
            <w:pPr>
              <w:keepNext/>
            </w:pPr>
            <w:r>
              <w:rPr>
                <w:sz w:val="18"/>
              </w:rPr>
              <w:t>0.2</w:t>
            </w:r>
          </w:p>
        </w:tc>
        <w:tc>
          <w:tcPr>
            <w:tcW w:type="dxa" w:w="2016"/>
          </w:tcPr>
          <w:p>
            <w:pPr>
              <w:keepNext/>
            </w:pPr>
            <w:r>
              <w:rPr>
                <w:sz w:val="18"/>
              </w:rPr>
              <w:t>0.133366933</w:t>
            </w:r>
          </w:p>
        </w:tc>
        <w:tc>
          <w:tcPr>
            <w:tcW w:type="dxa" w:w="2016"/>
          </w:tcPr>
          <w:p>
            <w:pPr>
              <w:keepNext/>
            </w:pPr>
            <w:r>
              <w:rPr>
                <w:sz w:val="18"/>
              </w:rPr>
              <w:t>0.288829166</w:t>
            </w:r>
          </w:p>
        </w:tc>
        <w:tc>
          <w:tcPr>
            <w:tcW w:type="dxa" w:w="2016"/>
          </w:tcPr>
          <w:p>
            <w:pPr>
              <w:keepNext/>
            </w:pPr>
            <w:r>
              <w:rPr>
                <w:sz w:val="18"/>
              </w:rPr>
              <w:t>0.077731116</w:t>
            </w:r>
          </w:p>
        </w:tc>
      </w:tr>
      <w:tr>
        <w:tc>
          <w:tcPr>
            <w:tcW w:type="dxa" w:w="2016"/>
          </w:tcPr>
          <w:p>
            <w:pPr>
              <w:keepNext/>
            </w:pPr>
            <w:r>
              <w:rPr>
                <w:sz w:val="18"/>
              </w:rPr>
              <w:t>100</w:t>
            </w:r>
          </w:p>
        </w:tc>
        <w:tc>
          <w:tcPr>
            <w:tcW w:type="dxa" w:w="2016"/>
          </w:tcPr>
          <w:p>
            <w:pPr>
              <w:keepNext/>
            </w:pPr>
            <w:r>
              <w:rPr>
                <w:sz w:val="18"/>
              </w:rPr>
              <w:t>0.3</w:t>
            </w:r>
          </w:p>
        </w:tc>
        <w:tc>
          <w:tcPr>
            <w:tcW w:type="dxa" w:w="2016"/>
          </w:tcPr>
          <w:p>
            <w:pPr>
              <w:keepNext/>
            </w:pPr>
            <w:r>
              <w:rPr>
                <w:sz w:val="18"/>
              </w:rPr>
              <w:t>0.218948853</w:t>
            </w:r>
          </w:p>
        </w:tc>
        <w:tc>
          <w:tcPr>
            <w:tcW w:type="dxa" w:w="2016"/>
          </w:tcPr>
          <w:p>
            <w:pPr>
              <w:keepNext/>
            </w:pPr>
            <w:r>
              <w:rPr>
                <w:sz w:val="18"/>
              </w:rPr>
              <w:t>0.395848546</w:t>
            </w:r>
          </w:p>
        </w:tc>
        <w:tc>
          <w:tcPr>
            <w:tcW w:type="dxa" w:w="2016"/>
          </w:tcPr>
          <w:p>
            <w:pPr>
              <w:keepNext/>
            </w:pPr>
            <w:r>
              <w:rPr>
                <w:sz w:val="18"/>
              </w:rPr>
              <w:t>0.088449847</w:t>
            </w:r>
          </w:p>
        </w:tc>
      </w:tr>
      <w:tr>
        <w:tc>
          <w:tcPr>
            <w:tcW w:type="dxa" w:w="2016"/>
          </w:tcPr>
          <w:p>
            <w:pPr>
              <w:keepNext/>
            </w:pPr>
            <w:r>
              <w:rPr>
                <w:sz w:val="18"/>
              </w:rPr>
              <w:t>100</w:t>
            </w:r>
          </w:p>
        </w:tc>
        <w:tc>
          <w:tcPr>
            <w:tcW w:type="dxa" w:w="2016"/>
          </w:tcPr>
          <w:p>
            <w:pPr>
              <w:keepNext/>
            </w:pPr>
            <w:r>
              <w:rPr>
                <w:sz w:val="18"/>
              </w:rPr>
              <w:t>0.5</w:t>
            </w:r>
          </w:p>
        </w:tc>
        <w:tc>
          <w:tcPr>
            <w:tcW w:type="dxa" w:w="2016"/>
          </w:tcPr>
          <w:p>
            <w:pPr>
              <w:keepNext/>
            </w:pPr>
            <w:r>
              <w:rPr>
                <w:sz w:val="18"/>
              </w:rPr>
              <w:t>0.403831530</w:t>
            </w:r>
          </w:p>
        </w:tc>
        <w:tc>
          <w:tcPr>
            <w:tcW w:type="dxa" w:w="2016"/>
          </w:tcPr>
          <w:p>
            <w:pPr>
              <w:keepNext/>
            </w:pPr>
            <w:r>
              <w:rPr>
                <w:sz w:val="18"/>
              </w:rPr>
              <w:t>0.596168470</w:t>
            </w:r>
          </w:p>
        </w:tc>
        <w:tc>
          <w:tcPr>
            <w:tcW w:type="dxa" w:w="2016"/>
          </w:tcPr>
          <w:p>
            <w:pPr>
              <w:keepNext/>
            </w:pPr>
            <w:r>
              <w:rPr>
                <w:sz w:val="18"/>
              </w:rPr>
              <w:t>0.096168470</w:t>
            </w:r>
          </w:p>
        </w:tc>
      </w:tr>
      <w:tr>
        <w:tc>
          <w:tcPr>
            <w:tcW w:type="dxa" w:w="2016"/>
          </w:tcPr>
          <w:p>
            <w:pPr>
              <w:keepNext/>
            </w:pPr>
            <w:r>
              <w:rPr>
                <w:sz w:val="18"/>
              </w:rPr>
              <w:t>100</w:t>
            </w:r>
          </w:p>
        </w:tc>
        <w:tc>
          <w:tcPr>
            <w:tcW w:type="dxa" w:w="2016"/>
          </w:tcPr>
          <w:p>
            <w:pPr>
              <w:keepNext/>
            </w:pPr>
            <w:r>
              <w:rPr>
                <w:sz w:val="18"/>
              </w:rPr>
              <w:t>0.7</w:t>
            </w:r>
          </w:p>
        </w:tc>
        <w:tc>
          <w:tcPr>
            <w:tcW w:type="dxa" w:w="2016"/>
          </w:tcPr>
          <w:p>
            <w:pPr>
              <w:keepNext/>
            </w:pPr>
            <w:r>
              <w:rPr>
                <w:sz w:val="18"/>
              </w:rPr>
              <w:t>0.604151454</w:t>
            </w:r>
          </w:p>
        </w:tc>
        <w:tc>
          <w:tcPr>
            <w:tcW w:type="dxa" w:w="2016"/>
          </w:tcPr>
          <w:p>
            <w:pPr>
              <w:keepNext/>
            </w:pPr>
            <w:r>
              <w:rPr>
                <w:sz w:val="18"/>
              </w:rPr>
              <w:t>0.781051147</w:t>
            </w:r>
          </w:p>
        </w:tc>
        <w:tc>
          <w:tcPr>
            <w:tcW w:type="dxa" w:w="2016"/>
          </w:tcPr>
          <w:p>
            <w:pPr>
              <w:keepNext/>
            </w:pPr>
            <w:r>
              <w:rPr>
                <w:sz w:val="18"/>
              </w:rPr>
              <w:t>0.088449847</w:t>
            </w:r>
          </w:p>
        </w:tc>
      </w:tr>
      <w:tr>
        <w:tc>
          <w:tcPr>
            <w:tcW w:type="dxa" w:w="2016"/>
          </w:tcPr>
          <w:p>
            <w:pPr>
              <w:keepNext w:val="0"/>
            </w:pPr>
            <w:r>
              <w:rPr>
                <w:sz w:val="18"/>
              </w:rPr>
              <w:t>100</w:t>
            </w:r>
          </w:p>
        </w:tc>
        <w:tc>
          <w:tcPr>
            <w:tcW w:type="dxa" w:w="2016"/>
          </w:tcPr>
          <w:p>
            <w:pPr>
              <w:keepNext w:val="0"/>
            </w:pPr>
            <w:r>
              <w:rPr>
                <w:sz w:val="18"/>
              </w:rPr>
              <w:t>0.8</w:t>
            </w:r>
          </w:p>
        </w:tc>
        <w:tc>
          <w:tcPr>
            <w:tcW w:type="dxa" w:w="2016"/>
          </w:tcPr>
          <w:p>
            <w:pPr>
              <w:keepNext w:val="0"/>
            </w:pPr>
            <w:r>
              <w:rPr>
                <w:sz w:val="18"/>
              </w:rPr>
              <w:t>0.711170834</w:t>
            </w:r>
          </w:p>
        </w:tc>
        <w:tc>
          <w:tcPr>
            <w:tcW w:type="dxa" w:w="2016"/>
          </w:tcPr>
          <w:p>
            <w:pPr>
              <w:keepNext w:val="0"/>
            </w:pPr>
            <w:r>
              <w:rPr>
                <w:sz w:val="18"/>
              </w:rPr>
              <w:t>0.866633067</w:t>
            </w:r>
          </w:p>
        </w:tc>
        <w:tc>
          <w:tcPr>
            <w:tcW w:type="dxa" w:w="2016"/>
          </w:tcPr>
          <w:p>
            <w:pPr>
              <w:keepNext w:val="0"/>
            </w:pPr>
            <w:r>
              <w:rPr>
                <w:sz w:val="18"/>
              </w:rPr>
              <w:t>0.077731116</w:t>
            </w:r>
          </w:p>
        </w:tc>
      </w:tr>
    </w:tbl>
    <w:p>
      <w:r>
        <w:br w:type="page"/>
      </w:r>
    </w:p>
    <w:p>
      <w:pPr>
        <w:pStyle w:val="Heading1"/>
      </w:pPr>
      <w:r>
        <w:t>Agent reconstruction protocol</w:t>
      </w:r>
    </w:p>
    <w:p>
      <w:r>
        <w:t>DRAFT — NOT FROZEN. No authorized main-run configuration exists yet.</w:t>
      </w:r>
    </w:p>
    <w:p>
      <w:pPr>
        <w:pStyle w:val="Heading2"/>
      </w:pPr>
      <w:r>
        <w:t>Proposed pilot envelope</w:t>
      </w:r>
    </w:p>
    <w:p>
      <w:r>
        <w:t>Per slot: four vCPU, 16 GiB RAM, 100 GiB scratch, no GPU, 120 active wall minutes,</w:t>
      </w:r>
    </w:p>
    <w:p>
      <w:r>
        <w:t>250,000 provider-accounted input+output tokens, and 1,000 tool calls. These are</w:t>
      </w:r>
    </w:p>
    <w:p>
      <w:r>
        <w:t>planning ceilings, not measured usage or demonstrated available platform settings.</w:t>
      </w:r>
    </w:p>
    <w:p>
      <w:r>
        <w:t>Pilot must verify enforcement, provider accounting, total-elapsed cap, outage</w:t>
      </w:r>
    </w:p>
    <w:p>
      <w:r>
        <w:t>clock policy, maximum monetary cost and availability of the same model/version.</w:t>
      </w:r>
    </w:p>
    <w:p>
      <w:r>
        <w:t>An unverifiable model version is recorded as unknown and limits the claim.</w:t>
      </w:r>
    </w:p>
    <w:p>
      <w:r>
        <w:t>No main run starts with null budget/stop rules in the harness contract.</w:t>
      </w:r>
    </w:p>
    <w:p>
      <w:r>
        <w:t>Use three fixed slots, same target, package hash, prompt, permissions, dependency</w:t>
      </w:r>
    </w:p>
    <w:p>
      <w:r>
        <w:t>policy, Internet access boundary and resource tier. If a second tier is essential,</w:t>
      </w:r>
    </w:p>
    <w:p>
      <w:r>
        <w:t>assign it prospectively by paper inputs and use it identically within that paper.</w:t>
      </w:r>
    </w:p>
    <w:p>
      <w:r>
        <w:t>The preparation audit agents are not experiment slots.</w:t>
      </w:r>
    </w:p>
    <w:p>
      <w:pPr>
        <w:pStyle w:val="Heading2"/>
      </w:pPr>
      <w:r>
        <w:t>Solver instructions to freeze verbatim after pilot</w:t>
      </w:r>
    </w:p>
    <w:p>
      <w:r>
        <w:t>1. Inspect permitted publication and target; record observable ambiguities with</w:t>
      </w:r>
    </w:p>
    <w:p>
      <w:r>
        <w:t xml:space="preserve">   source locations, not private reasoning traces.</w:t>
      </w:r>
    </w:p>
    <w:p>
      <w:r>
        <w:t>2. Produce an independent implementation faithful to the single reported method.</w:t>
      </w:r>
    </w:p>
    <w:p>
      <w:r>
        <w:t xml:space="preserve">   Do not consult the original implementation, other runs or forbidden tools.</w:t>
      </w:r>
    </w:p>
    <w:p>
      <w:r>
        <w:t>3. Install only broker-approved general dependencies. Record exact versions.</w:t>
      </w:r>
    </w:p>
    <w:p>
      <w:r>
        <w:t>4. Execute and debug code within the fixed budget. Fix coding/environment errors;</w:t>
      </w:r>
    </w:p>
    <w:p>
      <w:r>
        <w:t xml:space="preserve">   do not vary analytical specifications, models, seeds or defaults to improve</w:t>
      </w:r>
    </w:p>
    <w:p>
      <w:r>
        <w:t xml:space="preserve">   target agreement. Record each attempt and implementation revision.</w:t>
      </w:r>
    </w:p>
    <w:p>
      <w:r>
        <w:t>5. Generate the target once the declared procedure works. Use only the frozen</w:t>
      </w:r>
    </w:p>
    <w:p>
      <w:r>
        <w:t xml:space="preserve">   comparison criterion. Record absolute/component errors and the target-linked</w:t>
      </w:r>
    </w:p>
    <w:p>
      <w:r>
        <w:t xml:space="preserve">   conclusion separately.</w:t>
      </w:r>
    </w:p>
    <w:p>
      <w:r>
        <w:t>6. Stop at completed assessment, verified unavoidable barrier, budget limit,</w:t>
      </w:r>
    </w:p>
    <w:p>
      <w:r>
        <w:t xml:space="preserve">   suspected contamination or controller stop. Do not silently restart.</w:t>
      </w:r>
    </w:p>
    <w:p>
      <w:r>
        <w:t>7. Submit code, permitted outputs, execution records, assumptions, ambiguities,</w:t>
      </w:r>
    </w:p>
    <w:p>
      <w:r>
        <w:t xml:space="preserve">   failure evidence and structured outcomes. Missing usage is unknown, never zero.</w:t>
      </w:r>
    </w:p>
    <w:p>
      <w:pPr>
        <w:pStyle w:val="Heading2"/>
      </w:pPr>
      <w:r>
        <w:t>Required records</w:t>
      </w:r>
    </w:p>
    <w:p>
      <w:r>
        <w:t>Run IDs and paper IDs; model/version/mode and exposed settings; protocol/prompt/</w:t>
      </w:r>
    </w:p>
    <w:p>
      <w:r>
        <w:t>package/context/tool-registry/image hashes; exact UTC start/stop; stop reason;</w:t>
      </w:r>
    </w:p>
    <w:p>
      <w:r>
        <w:t>L1–L5; failure and attribution evidence; attempts/revisions/dependencies;</w:t>
      </w:r>
    </w:p>
    <w:p>
      <w:r>
        <w:t>elapsed time, tokens and costs; access events and contamination status.</w:t>
      </w:r>
    </w:p>
    <w:p>
      <w:r>
        <w:t>Implementation is observed executable code, not a persuasive report. Execution</w:t>
      </w:r>
    </w:p>
    <w:p>
      <w:r>
        <w:t>requires saved stdout/stderr/status/output artifacts. Success requires an</w:t>
      </w:r>
    </w:p>
    <w:p>
      <w:r>
        <w:t>independently verifiable comparison; conclusion agreement does not substitute for</w:t>
      </w:r>
    </w:p>
    <w:p>
      <w:r>
        <w:t>numerical agreement. An independent blinded adjudicator resolves ambiguous scores</w:t>
      </w:r>
    </w:p>
    <w:p>
      <w:r>
        <w:t>before blind freeze, without inspecting original author code.</w:t>
      </w:r>
    </w:p>
    <w:p>
      <w:r>
        <w:br w:type="page"/>
      </w:r>
    </w:p>
    <w:p>
      <w:pPr>
        <w:pStyle w:val="Heading1"/>
      </w:pPr>
      <w:r>
        <w:t>Commercial software policy</w:t>
      </w:r>
    </w:p>
    <w:p>
      <w:r>
        <w:t>DRAFT — NOT FROZEN</w:t>
      </w:r>
    </w:p>
    <w:p>
      <w:r>
        <w:t>Study-specific commercial software purchase equals zero. Do not use SAS, SPSS,</w:t>
      </w:r>
    </w:p>
    <w:p>
      <w:r>
        <w:t>Stata, MATLAB, proprietary modules, paid institutional entitlements or trials</w:t>
      </w:r>
    </w:p>
    <w:p>
      <w:r>
        <w:t>that cannot be replicated by a reader under the policy. Do not buy a licence.</w:t>
      </w:r>
    </w:p>
    <w:p>
      <w:r>
        <w:t>A named commercial application is not automatic failure. Implement a sufficiently</w:t>
      </w:r>
    </w:p>
    <w:p>
      <w:r>
        <w:t>specified, software-independent method using free/open-source tools; record</w:t>
      </w:r>
    </w:p>
    <w:p>
      <w:r>
        <w:t>library versions and observable assumptions. Essential unreconstructable</w:t>
      </w:r>
    </w:p>
    <w:p>
      <w:r>
        <w:t>proprietary function = F02; required unavailable version = F03; underspecified</w:t>
      </w:r>
    </w:p>
    <w:p>
      <w:r>
        <w:t>procedure = the applicable specification code, not automatically F02.</w:t>
      </w:r>
    </w:p>
    <w:p>
      <w:r>
        <w:t>Dependencies must be vetted as general-purpose tools, pinned with hashes and</w:t>
      </w:r>
    </w:p>
    <w:p>
      <w:r>
        <w:t>licences, and must not contain the paper's original implementation. The same</w:t>
      </w:r>
    </w:p>
    <w:p>
      <w:r>
        <w:t>dependency policy applies to every run. Agent/API costs, computing costs and</w:t>
      </w:r>
    </w:p>
    <w:p>
      <w:r>
        <w:t>journal APCs are distinct from software purchase; report actual usage or unknown.</w:t>
      </w:r>
    </w:p>
    <w:p>
      <w:r>
        <w:t>This draft does not authorize a new paid resource commitment.</w:t>
      </w:r>
    </w:p>
    <w:p>
      <w:r>
        <w:br w:type="page"/>
      </w:r>
    </w:p>
    <w:p>
      <w:pPr>
        <w:pStyle w:val="Heading1"/>
      </w:pPr>
      <w:r>
        <w:t>Failure taxonomy</w:t>
      </w:r>
    </w:p>
    <w:p>
      <w:r>
        <w:t>DRAFT — NOT FROZEN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040"/>
        <w:gridCol w:w="5040"/>
      </w:tblGrid>
      <w:tr>
        <w:tc>
          <w:tcPr>
            <w:tcW w:type="dxa" w:w="5040"/>
          </w:tcPr>
          <w:p>
            <w:pPr>
              <w:keepNext/>
            </w:pPr>
            <w:r>
              <w:rPr>
                <w:sz w:val="18"/>
              </w:rPr>
              <w:t>Code</w:t>
            </w:r>
          </w:p>
        </w:tc>
        <w:tc>
          <w:tcPr>
            <w:tcW w:type="dxa" w:w="5040"/>
          </w:tcPr>
          <w:p>
            <w:pPr>
              <w:keepNext/>
            </w:pPr>
            <w:r>
              <w:rPr>
                <w:sz w:val="18"/>
              </w:rPr>
              <w:t>Category</w:t>
            </w:r>
          </w:p>
        </w:tc>
      </w:tr>
      <w:tr>
        <w:tc>
          <w:tcPr>
            <w:tcW w:type="dxa" w:w="5040"/>
          </w:tcPr>
          <w:p>
            <w:pPr>
              <w:keepNext/>
            </w:pPr>
            <w:r>
              <w:rPr>
                <w:sz w:val="18"/>
              </w:rPr>
              <w:t>F01</w:t>
            </w:r>
          </w:p>
        </w:tc>
        <w:tc>
          <w:tcPr>
            <w:tcW w:type="dxa" w:w="5040"/>
          </w:tcPr>
          <w:p>
            <w:pPr>
              <w:keepNext/>
            </w:pPr>
            <w:r>
              <w:rPr>
                <w:sz w:val="18"/>
              </w:rPr>
              <w:t>input unavailable</w:t>
            </w:r>
          </w:p>
        </w:tc>
      </w:tr>
      <w:tr>
        <w:tc>
          <w:tcPr>
            <w:tcW w:type="dxa" w:w="5040"/>
          </w:tcPr>
          <w:p>
            <w:pPr>
              <w:keepNext/>
            </w:pPr>
            <w:r>
              <w:rPr>
                <w:sz w:val="18"/>
              </w:rPr>
              <w:t>F02</w:t>
            </w:r>
          </w:p>
        </w:tc>
        <w:tc>
          <w:tcPr>
            <w:tcW w:type="dxa" w:w="5040"/>
          </w:tcPr>
          <w:p>
            <w:pPr>
              <w:keepNext/>
            </w:pPr>
            <w:r>
              <w:rPr>
                <w:sz w:val="18"/>
              </w:rPr>
              <w:t>commercial dependency</w:t>
            </w:r>
          </w:p>
        </w:tc>
      </w:tr>
      <w:tr>
        <w:tc>
          <w:tcPr>
            <w:tcW w:type="dxa" w:w="5040"/>
          </w:tcPr>
          <w:p>
            <w:pPr>
              <w:keepNext/>
            </w:pPr>
            <w:r>
              <w:rPr>
                <w:sz w:val="18"/>
              </w:rPr>
              <w:t>F03</w:t>
            </w:r>
          </w:p>
        </w:tc>
        <w:tc>
          <w:tcPr>
            <w:tcW w:type="dxa" w:w="5040"/>
          </w:tcPr>
          <w:p>
            <w:pPr>
              <w:keepNext/>
            </w:pPr>
            <w:r>
              <w:rPr>
                <w:sz w:val="18"/>
              </w:rPr>
              <w:t>software or version unavailable</w:t>
            </w:r>
          </w:p>
        </w:tc>
      </w:tr>
      <w:tr>
        <w:tc>
          <w:tcPr>
            <w:tcW w:type="dxa" w:w="5040"/>
          </w:tcPr>
          <w:p>
            <w:pPr>
              <w:keepNext/>
            </w:pPr>
            <w:r>
              <w:rPr>
                <w:sz w:val="18"/>
              </w:rPr>
              <w:t>F04</w:t>
            </w:r>
          </w:p>
        </w:tc>
        <w:tc>
          <w:tcPr>
            <w:tcW w:type="dxa" w:w="5040"/>
          </w:tcPr>
          <w:p>
            <w:pPr>
              <w:keepNext/>
            </w:pPr>
            <w:r>
              <w:rPr>
                <w:sz w:val="18"/>
              </w:rPr>
              <w:t>algorithm underspecified</w:t>
            </w:r>
          </w:p>
        </w:tc>
      </w:tr>
      <w:tr>
        <w:tc>
          <w:tcPr>
            <w:tcW w:type="dxa" w:w="5040"/>
          </w:tcPr>
          <w:p>
            <w:pPr>
              <w:keepNext/>
            </w:pPr>
            <w:r>
              <w:rPr>
                <w:sz w:val="18"/>
              </w:rPr>
              <w:t>F05</w:t>
            </w:r>
          </w:p>
        </w:tc>
        <w:tc>
          <w:tcPr>
            <w:tcW w:type="dxa" w:w="5040"/>
          </w:tcPr>
          <w:p>
            <w:pPr>
              <w:keepNext/>
            </w:pPr>
            <w:r>
              <w:rPr>
                <w:sz w:val="18"/>
              </w:rPr>
              <w:t>parameter missing</w:t>
            </w:r>
          </w:p>
        </w:tc>
      </w:tr>
      <w:tr>
        <w:tc>
          <w:tcPr>
            <w:tcW w:type="dxa" w:w="5040"/>
          </w:tcPr>
          <w:p>
            <w:pPr>
              <w:keepNext/>
            </w:pPr>
            <w:r>
              <w:rPr>
                <w:sz w:val="18"/>
              </w:rPr>
              <w:t>F06</w:t>
            </w:r>
          </w:p>
        </w:tc>
        <w:tc>
          <w:tcPr>
            <w:tcW w:type="dxa" w:w="5040"/>
          </w:tcPr>
          <w:p>
            <w:pPr>
              <w:keepNext/>
            </w:pPr>
            <w:r>
              <w:rPr>
                <w:sz w:val="18"/>
              </w:rPr>
              <w:t>preprocessing unspecified</w:t>
            </w:r>
          </w:p>
        </w:tc>
      </w:tr>
      <w:tr>
        <w:tc>
          <w:tcPr>
            <w:tcW w:type="dxa" w:w="5040"/>
          </w:tcPr>
          <w:p>
            <w:pPr>
              <w:keepNext/>
            </w:pPr>
            <w:r>
              <w:rPr>
                <w:sz w:val="18"/>
              </w:rPr>
              <w:t>F07</w:t>
            </w:r>
          </w:p>
        </w:tc>
        <w:tc>
          <w:tcPr>
            <w:tcW w:type="dxa" w:w="5040"/>
          </w:tcPr>
          <w:p>
            <w:pPr>
              <w:keepNext/>
            </w:pPr>
            <w:r>
              <w:rPr>
                <w:sz w:val="18"/>
              </w:rPr>
              <w:t>data transformation ambiguous</w:t>
            </w:r>
          </w:p>
        </w:tc>
      </w:tr>
      <w:tr>
        <w:tc>
          <w:tcPr>
            <w:tcW w:type="dxa" w:w="5040"/>
          </w:tcPr>
          <w:p>
            <w:pPr>
              <w:keepNext/>
            </w:pPr>
            <w:r>
              <w:rPr>
                <w:sz w:val="18"/>
              </w:rPr>
              <w:t>F08</w:t>
            </w:r>
          </w:p>
        </w:tc>
        <w:tc>
          <w:tcPr>
            <w:tcW w:type="dxa" w:w="5040"/>
          </w:tcPr>
          <w:p>
            <w:pPr>
              <w:keepNext/>
            </w:pPr>
            <w:r>
              <w:rPr>
                <w:sz w:val="18"/>
              </w:rPr>
              <w:t>software default unspecified</w:t>
            </w:r>
          </w:p>
        </w:tc>
      </w:tr>
      <w:tr>
        <w:tc>
          <w:tcPr>
            <w:tcW w:type="dxa" w:w="5040"/>
          </w:tcPr>
          <w:p>
            <w:pPr>
              <w:keepNext/>
            </w:pPr>
            <w:r>
              <w:rPr>
                <w:sz w:val="18"/>
              </w:rPr>
              <w:t>F09</w:t>
            </w:r>
          </w:p>
        </w:tc>
        <w:tc>
          <w:tcPr>
            <w:tcW w:type="dxa" w:w="5040"/>
          </w:tcPr>
          <w:p>
            <w:pPr>
              <w:keepNext/>
            </w:pPr>
            <w:r>
              <w:rPr>
                <w:sz w:val="18"/>
              </w:rPr>
              <w:t>randomization or seed unspecified</w:t>
            </w:r>
          </w:p>
        </w:tc>
      </w:tr>
      <w:tr>
        <w:tc>
          <w:tcPr>
            <w:tcW w:type="dxa" w:w="5040"/>
          </w:tcPr>
          <w:p>
            <w:pPr>
              <w:keepNext/>
            </w:pPr>
            <w:r>
              <w:rPr>
                <w:sz w:val="18"/>
              </w:rPr>
              <w:t>F10</w:t>
            </w:r>
          </w:p>
        </w:tc>
        <w:tc>
          <w:tcPr>
            <w:tcW w:type="dxa" w:w="5040"/>
          </w:tcPr>
          <w:p>
            <w:pPr>
              <w:keepNext/>
            </w:pPr>
            <w:r>
              <w:rPr>
                <w:sz w:val="18"/>
              </w:rPr>
              <w:t>numerical implementation ambiguous</w:t>
            </w:r>
          </w:p>
        </w:tc>
      </w:tr>
      <w:tr>
        <w:tc>
          <w:tcPr>
            <w:tcW w:type="dxa" w:w="5040"/>
          </w:tcPr>
          <w:p>
            <w:pPr>
              <w:keepNext/>
            </w:pPr>
            <w:r>
              <w:rPr>
                <w:sz w:val="18"/>
              </w:rPr>
              <w:t>F11</w:t>
            </w:r>
          </w:p>
        </w:tc>
        <w:tc>
          <w:tcPr>
            <w:tcW w:type="dxa" w:w="5040"/>
          </w:tcPr>
          <w:p>
            <w:pPr>
              <w:keepNext/>
            </w:pPr>
            <w:r>
              <w:rPr>
                <w:sz w:val="18"/>
              </w:rPr>
              <w:t>hidden manual step suspected</w:t>
            </w:r>
          </w:p>
        </w:tc>
      </w:tr>
      <w:tr>
        <w:tc>
          <w:tcPr>
            <w:tcW w:type="dxa" w:w="5040"/>
          </w:tcPr>
          <w:p>
            <w:pPr>
              <w:keepNext/>
            </w:pPr>
            <w:r>
              <w:rPr>
                <w:sz w:val="18"/>
              </w:rPr>
              <w:t>F12</w:t>
            </w:r>
          </w:p>
        </w:tc>
        <w:tc>
          <w:tcPr>
            <w:tcW w:type="dxa" w:w="5040"/>
          </w:tcPr>
          <w:p>
            <w:pPr>
              <w:keepNext/>
            </w:pPr>
            <w:r>
              <w:rPr>
                <w:sz w:val="18"/>
              </w:rPr>
              <w:t>dependency or environment failure</w:t>
            </w:r>
          </w:p>
        </w:tc>
      </w:tr>
      <w:tr>
        <w:tc>
          <w:tcPr>
            <w:tcW w:type="dxa" w:w="5040"/>
          </w:tcPr>
          <w:p>
            <w:pPr>
              <w:keepNext/>
            </w:pPr>
            <w:r>
              <w:rPr>
                <w:sz w:val="18"/>
              </w:rPr>
              <w:t>F13</w:t>
            </w:r>
          </w:p>
        </w:tc>
        <w:tc>
          <w:tcPr>
            <w:tcW w:type="dxa" w:w="5040"/>
          </w:tcPr>
          <w:p>
            <w:pPr>
              <w:keepNext/>
            </w:pPr>
            <w:r>
              <w:rPr>
                <w:sz w:val="18"/>
              </w:rPr>
              <w:t>computational resource limit</w:t>
            </w:r>
          </w:p>
        </w:tc>
      </w:tr>
      <w:tr>
        <w:tc>
          <w:tcPr>
            <w:tcW w:type="dxa" w:w="5040"/>
          </w:tcPr>
          <w:p>
            <w:pPr>
              <w:keepNext/>
            </w:pPr>
            <w:r>
              <w:rPr>
                <w:sz w:val="18"/>
              </w:rPr>
              <w:t>F14</w:t>
            </w:r>
          </w:p>
        </w:tc>
        <w:tc>
          <w:tcPr>
            <w:tcW w:type="dxa" w:w="5040"/>
          </w:tcPr>
          <w:p>
            <w:pPr>
              <w:keepNext/>
            </w:pPr>
            <w:r>
              <w:rPr>
                <w:sz w:val="18"/>
              </w:rPr>
              <w:t>publication internal inconsistency</w:t>
            </w:r>
          </w:p>
        </w:tc>
      </w:tr>
      <w:tr>
        <w:tc>
          <w:tcPr>
            <w:tcW w:type="dxa" w:w="5040"/>
          </w:tcPr>
          <w:p>
            <w:pPr>
              <w:keepNext/>
            </w:pPr>
            <w:r>
              <w:rPr>
                <w:sz w:val="18"/>
              </w:rPr>
              <w:t>F15</w:t>
            </w:r>
          </w:p>
        </w:tc>
        <w:tc>
          <w:tcPr>
            <w:tcW w:type="dxa" w:w="5040"/>
          </w:tcPr>
          <w:p>
            <w:pPr>
              <w:keepNext/>
            </w:pPr>
            <w:r>
              <w:rPr>
                <w:sz w:val="18"/>
              </w:rPr>
              <w:t>agent reasoning or coding failure</w:t>
            </w:r>
          </w:p>
        </w:tc>
      </w:tr>
      <w:tr>
        <w:tc>
          <w:tcPr>
            <w:tcW w:type="dxa" w:w="5040"/>
          </w:tcPr>
          <w:p>
            <w:pPr>
              <w:keepNext/>
            </w:pPr>
            <w:r>
              <w:rPr>
                <w:sz w:val="18"/>
              </w:rPr>
              <w:t>F16</w:t>
            </w:r>
          </w:p>
        </w:tc>
        <w:tc>
          <w:tcPr>
            <w:tcW w:type="dxa" w:w="5040"/>
          </w:tcPr>
          <w:p>
            <w:pPr>
              <w:keepNext/>
            </w:pPr>
            <w:r>
              <w:rPr>
                <w:sz w:val="18"/>
              </w:rPr>
              <w:t>target result insufficiently reported</w:t>
            </w:r>
          </w:p>
        </w:tc>
      </w:tr>
      <w:tr>
        <w:tc>
          <w:tcPr>
            <w:tcW w:type="dxa" w:w="5040"/>
          </w:tcPr>
          <w:p>
            <w:pPr>
              <w:keepNext/>
            </w:pPr>
            <w:r>
              <w:rPr>
                <w:sz w:val="18"/>
              </w:rPr>
              <w:t>F17</w:t>
            </w:r>
          </w:p>
        </w:tc>
        <w:tc>
          <w:tcPr>
            <w:tcW w:type="dxa" w:w="5040"/>
          </w:tcPr>
          <w:p>
            <w:pPr>
              <w:keepNext/>
            </w:pPr>
            <w:r>
              <w:rPr>
                <w:sz w:val="18"/>
              </w:rPr>
              <w:t>firewall contamination</w:t>
            </w:r>
          </w:p>
        </w:tc>
      </w:tr>
      <w:tr>
        <w:tc>
          <w:tcPr>
            <w:tcW w:type="dxa" w:w="5040"/>
          </w:tcPr>
          <w:p>
            <w:pPr>
              <w:keepNext/>
            </w:pPr>
            <w:r>
              <w:rPr>
                <w:sz w:val="18"/>
              </w:rPr>
              <w:t>F18</w:t>
            </w:r>
          </w:p>
        </w:tc>
        <w:tc>
          <w:tcPr>
            <w:tcW w:type="dxa" w:w="5040"/>
          </w:tcPr>
          <w:p>
            <w:pPr>
              <w:keepNext/>
            </w:pPr>
            <w:r>
              <w:rPr>
                <w:sz w:val="18"/>
              </w:rPr>
              <w:t>input identity or version ambiguous</w:t>
            </w:r>
          </w:p>
        </w:tc>
      </w:tr>
      <w:tr>
        <w:tc>
          <w:tcPr>
            <w:tcW w:type="dxa" w:w="5040"/>
          </w:tcPr>
          <w:p>
            <w:pPr>
              <w:keepNext/>
            </w:pPr>
            <w:r>
              <w:rPr>
                <w:sz w:val="18"/>
              </w:rPr>
              <w:t>F19</w:t>
            </w:r>
          </w:p>
        </w:tc>
        <w:tc>
          <w:tcPr>
            <w:tcW w:type="dxa" w:w="5040"/>
          </w:tcPr>
          <w:p>
            <w:pPr>
              <w:keepNext/>
            </w:pPr>
            <w:r>
              <w:rPr>
                <w:sz w:val="18"/>
              </w:rPr>
              <w:t>access or download failure</w:t>
            </w:r>
          </w:p>
        </w:tc>
      </w:tr>
      <w:tr>
        <w:tc>
          <w:tcPr>
            <w:tcW w:type="dxa" w:w="5040"/>
          </w:tcPr>
          <w:p>
            <w:pPr>
              <w:keepNext/>
            </w:pPr>
            <w:r>
              <w:rPr>
                <w:sz w:val="18"/>
              </w:rPr>
              <w:t>F20</w:t>
            </w:r>
          </w:p>
        </w:tc>
        <w:tc>
          <w:tcPr>
            <w:tcW w:type="dxa" w:w="5040"/>
          </w:tcPr>
          <w:p>
            <w:pPr>
              <w:keepNext/>
            </w:pPr>
            <w:r>
              <w:rPr>
                <w:sz w:val="18"/>
              </w:rPr>
              <w:t>runs but target not reproduced</w:t>
            </w:r>
          </w:p>
        </w:tc>
      </w:tr>
      <w:tr>
        <w:tc>
          <w:tcPr>
            <w:tcW w:type="dxa" w:w="5040"/>
          </w:tcPr>
          <w:p>
            <w:pPr>
              <w:keepNext w:val="0"/>
            </w:pPr>
            <w:r>
              <w:rPr>
                <w:sz w:val="18"/>
              </w:rPr>
              <w:t>F99</w:t>
            </w:r>
          </w:p>
        </w:tc>
        <w:tc>
          <w:tcPr>
            <w:tcW w:type="dxa" w:w="5040"/>
          </w:tcPr>
          <w:p>
            <w:pPr>
              <w:keepNext w:val="0"/>
            </w:pPr>
            <w:r>
              <w:rPr>
                <w:sz w:val="18"/>
              </w:rPr>
              <w:t>other</w:t>
            </w:r>
          </w:p>
        </w:tc>
      </w:tr>
    </w:tbl>
    <w:p>
      <w:r>
        <w:t>Record primary and optional secondary codes, earliest failed level, source</w:t>
      </w:r>
    </w:p>
    <w:p>
      <w:r>
        <w:t>location or execution evidence, observed event, hypothesized attribution and</w:t>
      </w:r>
    </w:p>
    <w:p>
      <w:r>
        <w:t>certainty separately. Allow uncertain, multiple and not_classifiable. For</w:t>
      </w:r>
    </w:p>
    <w:p>
      <w:r>
        <w:t>simultaneous unresolved causes do not force an arbitrary primary code.</w:t>
      </w:r>
    </w:p>
    <w:p>
      <w:r>
        <w:t>A documented failed download is F19, not proof of F01. An incorrect agent program</w:t>
      </w:r>
    </w:p>
    <w:p>
      <w:r>
        <w:t>is not automatically F04. A difference from author code after reveal is descriptive</w:t>
      </w:r>
    </w:p>
    <w:p>
      <w:r>
        <w:t>evidence, not proof that the publication made reconstruction impossible. F11</w:t>
      </w:r>
    </w:p>
    <w:p>
      <w:r>
        <w:t>remains suspected unless evidence establishes a hidden step. F17 invalidates the</w:t>
      </w:r>
    </w:p>
    <w:p>
      <w:r>
        <w:t>slot for clean inference; it is not an ordinary failed reconstruction.</w:t>
      </w:r>
    </w:p>
    <w:p>
      <w:r>
        <w:br w:type="page"/>
      </w:r>
    </w:p>
    <w:p>
      <w:pPr>
        <w:pStyle w:val="Heading1"/>
      </w:pPr>
      <w:r>
        <w:t>Blinded human validation</w:t>
      </w:r>
    </w:p>
    <w:p>
      <w:r>
        <w:t>NOT COMPLETED. This is a protocol and empty data-entry package, not human data.</w:t>
      </w:r>
    </w:p>
    <w:p>
      <w:r>
        <w:t>Purpose: assess the validity of the agent measurement process. It does not</w:t>
      </w:r>
    </w:p>
    <w:p>
      <w:r>
        <w:t>estimate human reconstructability in the corpus.</w:t>
      </w:r>
    </w:p>
    <w:p>
      <w:r>
        <w:t>After blind freeze, sample approximately fifteen cases: five complete 3/3,</w:t>
      </w:r>
    </w:p>
    <w:p>
      <w:r>
        <w:t>five mixed (1/3 or 2/3), five complete 0/3. Within group use a frozen seeded</w:t>
      </w:r>
    </w:p>
    <w:p>
      <w:r>
        <w:t>hash order, retaining selection probabilities. If sparse, distribute unfilled</w:t>
      </w:r>
    </w:p>
    <w:p>
      <w:r>
        <w:t>places round-robin across remaining groups in fixed 3/3, mixed, 0/3 order,</w:t>
      </w:r>
    </w:p>
    <w:p>
      <w:r>
        <w:t>without exceeding group size. If fewer cases exist overall, report the reduced</w:t>
      </w:r>
    </w:p>
    <w:p>
      <w:r>
        <w:t>size; do not manufacture cases. Incomplete/contaminated triples are not silently</w:t>
      </w:r>
    </w:p>
    <w:p>
      <w:r>
        <w:t>assigned to an outcome stratum.</w:t>
      </w:r>
    </w:p>
    <w:p>
      <w:r>
        <w:t>The coordinator alone sees selection labels. Give validators anonymous case IDs,</w:t>
      </w:r>
    </w:p>
    <w:p>
      <w:r>
        <w:t>the exact blind publication/input package, target and instructions, without agent</w:t>
      </w:r>
    </w:p>
    <w:p>
      <w:r>
        <w:t>code/logs/outcomes, original implementation or reveal findings. Packages cannot</w:t>
      </w:r>
    </w:p>
    <w:p>
      <w:r>
        <w:t>yet be assembled because no target packages or frozen outcome strata exist.</w:t>
      </w:r>
    </w:p>
    <w:p>
      <w:r>
        <w:t>The release build supplies the data-entry schema and these instructions.</w:t>
      </w:r>
    </w:p>
    <w:p>
      <w:r>
        <w:t>Validator instructions: use the same allowed information, independently implement</w:t>
      </w:r>
    </w:p>
    <w:p>
      <w:r>
        <w:t>the stated method, record observable decisions and errors, and submit code,</w:t>
      </w:r>
    </w:p>
    <w:p>
      <w:r>
        <w:t>execution output, numeric comparison and target-linked conclusion. Record expertise,</w:t>
      </w:r>
    </w:p>
    <w:p>
      <w:r>
        <w:t>time limits, resources, any permitted assistance and deviations. Do not claim</w:t>
      </w:r>
    </w:p>
    <w:p>
      <w:r>
        <w:t>identical time/compute conditions if they are not actually comparable.</w:t>
      </w:r>
    </w:p>
    <w:p>
      <w:r>
        <w:t>Before recruitment obtain the responsible institution's ethics determination</w:t>
      </w:r>
    </w:p>
    <w:p>
      <w:r>
        <w:t>for collecting human performance data, document actual consent arrangements and</w:t>
      </w:r>
    </w:p>
    <w:p>
      <w:r>
        <w:t>privacy/release rules. No exemption, consent, investigator identity or participant</w:t>
      </w:r>
    </w:p>
    <w:p>
      <w:r>
        <w:t>has been presumed. Real human participation must be supplied by the researchers.</w:t>
      </w:r>
    </w:p>
    <w:p>
      <w:r>
        <w:t>Score with frozen rules using an adjudicator masked to agent outcome and sampling</w:t>
      </w:r>
    </w:p>
    <w:p>
      <w:r>
        <w:t>group. Record reviewer disagreements before consensus. Report a paired case table,</w:t>
      </w:r>
    </w:p>
    <w:p>
      <w:r>
        <w:t>discordant cases with evidence, and agreement proportion with its denominator;</w:t>
      </w:r>
    </w:p>
    <w:p>
      <w:r>
        <w:t>any binomial interval is descriptive conditional on the purposive outcome-balanced</w:t>
      </w:r>
    </w:p>
    <w:p>
      <w:r>
        <w:t>sample. Do not extrapolate it to all humans or all papers. Do not simulate responses.</w:t>
      </w:r>
    </w:p>
    <w:p>
      <w:r>
        <w:t>Empty `human_results.csv` remains NOT COMPLETED until actual submissions exist.</w:t>
      </w:r>
    </w:p>
    <w:p>
      <w:r>
        <w:br w:type="page"/>
      </w:r>
    </w:p>
    <w:p>
      <w:pPr>
        <w:pStyle w:val="Heading1"/>
      </w:pPr>
      <w:r>
        <w:t>Information firewall</w:t>
      </w:r>
    </w:p>
    <w:p>
      <w:r>
        <w:t>DRAFT — PARTIALLY QUALIFIED. Separate VMs alone are insufficient.</w:t>
      </w:r>
    </w:p>
    <w:p>
      <w:r>
        <w:t>`paper2.isolation` and `paper2.model_api` provide synthetic execution-isolation</w:t>
      </w:r>
    </w:p>
    <w:p>
      <w:r>
        <w:t>and API smoke qualifications only. `paper2.firewall` qualifies the custodian,</w:t>
      </w:r>
    </w:p>
    <w:p>
      <w:r>
        <w:t>broker, access telemetry, dependency closure, resource stop and</w:t>
      </w:r>
    </w:p>
    <w:p>
      <w:r>
        <w:t>freeze-before-reveal controls on a retained pilot article with adversarial</w:t>
      </w:r>
    </w:p>
    <w:p>
      <w:r>
        <w:t>negative cases (`results/firewall_qualification.json`, policy</w:t>
      </w:r>
    </w:p>
    <w:p>
      <w:r>
        <w:t>`firewall-qualification-2026-09-24`). Still unqualified: model-side retrieval</w:t>
      </w:r>
    </w:p>
    <w:p>
      <w:r>
        <w:t>tool restriction for provider-hosted tools, three-slot scheduling and budget</w:t>
      </w:r>
    </w:p>
    <w:p>
      <w:r>
        <w:t>comparability, and independent human adjudicator governance. None of these</w:t>
      </w:r>
    </w:p>
    <w:p>
      <w:r>
        <w:t>qualifications authorizes main runs. The provisional pilot (`paper2.pilot`,</w:t>
      </w:r>
    </w:p>
    <w:p>
      <w:r>
        <w:t>deviation `DEV-2026-09-24-02`) ran inside these qualified controls: one broker</w:t>
      </w:r>
    </w:p>
    <w:p>
      <w:r>
        <w:t>journal, one served package and one fresh worker per slot, manifests hashed and</w:t>
      </w:r>
    </w:p>
    <w:p>
      <w:r>
        <w:t>externally timestamped before the first solver call, and outcomes sealed and</w:t>
      </w:r>
    </w:p>
    <w:p>
      <w:r>
        <w:t>timestamped before any reveal-class request. The unqualified areas above still</w:t>
      </w:r>
    </w:p>
    <w:p>
      <w:r>
        <w:t>apply to it and are recorded as limitations of those runs.</w:t>
      </w:r>
    </w:p>
    <w:p>
      <w:r>
        <w:t>The current execution probe uses one CPU, 2 GiB RAM and 512 MiB work storage;</w:t>
      </w:r>
    </w:p>
    <w:p>
      <w:r>
        <w:t>it does not validate the larger proposed scientific-run envelope. A model alias</w:t>
      </w:r>
    </w:p>
    <w:p>
      <w:r>
        <w:t>without a provider-reported version remains explicitly version-unverified.</w:t>
      </w:r>
    </w:p>
    <w:p>
      <w:r>
        <w:t>Allowed: publication text, methodological supplements including published</w:t>
      </w:r>
    </w:p>
    <w:p>
      <w:r>
        <w:t>scientific pseudocode, vetted public inputs, necessary general references and</w:t>
      </w:r>
    </w:p>
    <w:p>
      <w:r>
        <w:t>free/open-source documentation. Forbidden: original repository, source, notebook,</w:t>
      </w:r>
    </w:p>
    <w:p>
      <w:r>
        <w:t>workflow, container, alternative online reimplementations, and author material</w:t>
      </w:r>
    </w:p>
    <w:p>
      <w:r>
        <w:t>that reveals implementation rather than scientific specification.</w:t>
      </w:r>
    </w:p>
    <w:p>
      <w:r>
        <w:t>Use separate custodian, controller/broker, solver and adjudicator roles. A</w:t>
      </w:r>
    </w:p>
    <w:p>
      <w:r>
        <w:t>custodian quarantines mixed archives and serves only reviewed exact members with</w:t>
      </w:r>
    </w:p>
    <w:p>
      <w:r>
        <w:t>archive-to-member provenance. Authors' implementation is not opened to prepare</w:t>
      </w:r>
    </w:p>
    <w:p>
      <w:r>
        <w:t>blind outcomes. Unknown/unchecked material is denied, even at an allowed domain.</w:t>
      </w:r>
    </w:p>
    <w:p>
      <w:r>
        <w:t>Preserve content hash, bytes, licence, acquisition conditions, reviewer and</w:t>
      </w:r>
    </w:p>
    <w:p>
      <w:r>
        <w:t>decision for every allowed or blocked artifact. Templates are in `schemas/`.</w:t>
      </w:r>
    </w:p>
    <w:p>
      <w:r>
        <w:t>Each solver requires a new conversation, dedicated clean execution environment,</w:t>
      </w:r>
    </w:p>
    <w:p>
      <w:r>
        <w:t>no writable shared volumes, no cached browser or shell credentials, and no</w:t>
      </w:r>
    </w:p>
    <w:p>
      <w:r>
        <w:t>ancestor/sibling results. Shared read-only vetted software and paper inputs are</w:t>
      </w:r>
    </w:p>
    <w:p>
      <w:r>
        <w:t>permitted. Restrict BOTH execution networking and model-side web/Git/MCP/session</w:t>
      </w:r>
    </w:p>
    <w:p>
      <w:r>
        <w:t>tools. Audit injected rules, skills, knowledge, attachments, initial context and</w:t>
      </w:r>
    </w:p>
    <w:p>
      <w:r>
        <w:t>effective tool registry. A container network restriction does not demonstrate</w:t>
      </w:r>
    </w:p>
    <w:p>
      <w:r>
        <w:t>that model-side retrieval tools are restricted.</w:t>
      </w:r>
    </w:p>
    <w:p>
      <w:r>
        <w:t>No parent debugging, package enrichment or policy widening during a run. Requests</w:t>
      </w:r>
    </w:p>
    <w:p>
      <w:r>
        <w:t>to the broker must be logged; allow only materials under the frozen policy that</w:t>
      </w:r>
    </w:p>
    <w:p>
      <w:r>
        <w:t>can be made equivalently available to all slots without outcome leakage.</w:t>
      </w:r>
    </w:p>
    <w:p>
      <w:r>
        <w:t>Record attempts, denials, bytes served, timestamps and immutable event hashes.</w:t>
      </w:r>
    </w:p>
    <w:p>
      <w:r>
        <w:t>Never record private chain-of-thought. Prior model-training exposure cannot be</w:t>
      </w:r>
    </w:p>
    <w:p>
      <w:r>
        <w:t>certified absent and is a limitation even with an enforced runtime boundary.</w:t>
      </w:r>
    </w:p>
    <w:p>
      <w:r>
        <w:t>Qualification must demonstrate: forbidden canary artifact cannot be read by</w:t>
      </w:r>
    </w:p>
    <w:p>
      <w:r>
        <w:t>shell/browser/model-side tools; archive member and transitive dependency controls;</w:t>
      </w:r>
    </w:p>
    <w:p>
      <w:r>
        <w:t>no cross-run read/write; effective-context inventory; complete access telemetry;</w:t>
      </w:r>
    </w:p>
    <w:p>
      <w:r>
        <w:t>fixed resource stops; and frozen-outcome-before-reveal enforcement. These checks</w:t>
      </w:r>
    </w:p>
    <w:p>
      <w:r>
        <w:t>must themselves have evidence and adversarial negative cases. The preparation</w:t>
      </w:r>
    </w:p>
    <w:p>
      <w:r>
        <w:t>workflow that produced the protocols and candidate screening must not be</w:t>
      </w:r>
    </w:p>
    <w:p>
      <w:r>
        <w:t>relabelled a blinded reconstruction experiment; the firewall qualification run</w:t>
      </w:r>
    </w:p>
    <w:p>
      <w:r>
        <w:t>is a control test, not an outcome.</w:t>
      </w:r>
    </w:p>
    <w:p>
      <w:r>
        <w:t>Contamination: stop, seal evidence, adjudicate independently. Suspected or unknown</w:t>
      </w:r>
    </w:p>
    <w:p>
      <w:r>
        <w:t>firewall status is unresolved for the clean primary analysis; confirmed</w:t>
      </w:r>
    </w:p>
    <w:p>
      <w:r>
        <w:t>contamination is excluded, retaining its fixed slot as missing. No silent</w:t>
      </w:r>
    </w:p>
    <w:p>
      <w:r>
        <w:t>replacement or repeated attempts until success. The retained contaminated trace</w:t>
      </w:r>
    </w:p>
    <w:p>
      <w:r>
        <w:t>is not supplied to another solver.</w:t>
      </w:r>
    </w:p>
    <w:p>
      <w:r>
        <w:br w:type="page"/>
      </w:r>
    </w:p>
    <w:p>
      <w:pPr>
        <w:pStyle w:val="Heading1"/>
      </w:pPr>
      <w:r>
        <w:t>Paper II protocol</w:t>
      </w:r>
    </w:p>
    <w:p>
      <w:r>
        <w:t>DRAFT — NOT FROZEN. A provisional pilot has been executed under deviation</w:t>
      </w:r>
    </w:p>
    <w:p>
      <w:r>
        <w:t>`DEV-2026-09-24-02` with author verification of G1–G5 still pending; its runs are</w:t>
      </w:r>
    </w:p>
    <w:p>
      <w:r>
        <w:t>sealed unadjudicated and excluded from the main sample. No main reconstruction</w:t>
      </w:r>
    </w:p>
    <w:p>
      <w:r>
        <w:t>experiment has occurred.</w:t>
      </w:r>
    </w:p>
    <w:p>
      <w:pPr>
        <w:pStyle w:val="Heading2"/>
      </w:pPr>
      <w:r>
        <w:t>Question and scope</w:t>
      </w:r>
    </w:p>
    <w:p>
      <w:r>
        <w:t>Can publication-level scientific description support independent reconstruction</w:t>
      </w:r>
    </w:p>
    <w:p>
      <w:r>
        <w:t>of a computational research system? Define *publication-grounded independent</w:t>
      </w:r>
    </w:p>
    <w:p>
      <w:r>
        <w:t>computational reconstruction* operationally, with a specified agent, information</w:t>
      </w:r>
    </w:p>
    <w:p>
      <w:r>
        <w:t>boundary, resource budget, target and comparison rule. No claim of a new term or</w:t>
      </w:r>
    </w:p>
    <w:p>
      <w:r>
        <w:t>first agentic reconstruction study is made.</w:t>
      </w:r>
    </w:p>
    <w:p>
      <w:r>
        <w:t>The framework is ACCESS → RECONSTRUCT → EXECUTE → REPRODUCE → ROBUST. Paper II</w:t>
      </w:r>
    </w:p>
    <w:p>
      <w:r>
        <w:t>measures reconstruction and its execution/numerical/conclusion consequences.</w:t>
      </w:r>
    </w:p>
    <w:p>
      <w:r>
        <w:t>ROBUST is future Paper III work and is excluded. The Wet/Dry mapping is a conceptual</w:t>
      </w:r>
    </w:p>
    <w:p>
      <w:r>
        <w:t>analogy, not a literal equivalence or an empirical result.</w:t>
      </w:r>
    </w:p>
    <w:p>
      <w:pPr>
        <w:pStyle w:val="Heading2"/>
      </w:pPr>
      <w:r>
        <w:t>Frame and eligibility</w:t>
      </w:r>
    </w:p>
    <w:p>
      <w:r>
        <w:t>The source is the VOR-linked EPJ deposit, identified in the acquisition ledger.</w:t>
      </w:r>
    </w:p>
    <w:p>
      <w:r>
        <w:t>Preserve all rows. The automatically generated source audit distinguishes source</w:t>
      </w:r>
    </w:p>
    <w:p>
      <w:r>
        <w:t>records, unique PMIDs and overlapping field memberships. The requested distinct</w:t>
      </w:r>
    </w:p>
    <w:p>
      <w:r>
        <w:t>paper count is not met by the inspected deposit. No new papers are substituted.</w:t>
      </w:r>
    </w:p>
    <w:p>
      <w:r>
        <w:t>The author approved the unique-PMID inference frame while retaining all original</w:t>
      </w:r>
    </w:p>
    <w:p>
      <w:r>
        <w:t>rows. The verbatim decision is in `data/frame_decision.json`; the generated</w:t>
      </w:r>
    </w:p>
    <w:p>
      <w:r>
        <w:t>`results/frame_manifest.json` binds the decision, source and inference-frame hashes.</w:t>
      </w:r>
    </w:p>
    <w:p>
      <w:r>
        <w:t>This resolves the Paper II identity rule, not the historical distinct-paper claim,</w:t>
      </w:r>
    </w:p>
    <w:p>
      <w:r>
        <w:t>classification validity or prospective protocol freeze.</w:t>
      </w:r>
    </w:p>
    <w:p>
      <w:r>
        <w:t>Paper identity is PMID; duplicate DOIs or titles trigger review, not automatic</w:t>
      </w:r>
    </w:p>
    <w:p>
      <w:r>
        <w:t>merging. Records are traceable by commit, file and one-based data-row position.</w:t>
      </w:r>
    </w:p>
    <w:p>
      <w:r>
        <w:t>Field labels describe recorded sampling provenance, not mutually exclusive</w:t>
      </w:r>
    </w:p>
    <w:p>
      <w:r>
        <w:t>scientific disciplines. Neither papers nor historical sample selection can be</w:t>
      </w:r>
    </w:p>
    <w:p>
      <w:r>
        <w:t>generalized to all PubMed or all science using unverified inclusion probabilities.</w:t>
      </w:r>
    </w:p>
    <w:p>
      <w:r>
        <w:t>G1: yes/no/uncertain computationally testable, with evidence and reason.</w:t>
      </w:r>
    </w:p>
    <w:p>
      <w:r>
        <w:t>Include a central claim produced by a specified computational transformation,</w:t>
      </w:r>
    </w:p>
    <w:p>
      <w:r>
        <w:t>statistical estimation, simulation, optimization or predictive evaluation.</w:t>
      </w:r>
    </w:p>
    <w:p>
      <w:r>
        <w:t>Descriptive quantitative analysis is eligible when reproducing its central</w:t>
      </w:r>
    </w:p>
    <w:p>
      <w:r>
        <w:t>reported output requires applying a computational procedure to inputs. A purely</w:t>
      </w:r>
    </w:p>
    <w:p>
      <w:r>
        <w:t>verbal claim or restatement of a supplied number is ineligible. Missing inputs</w:t>
      </w:r>
    </w:p>
    <w:p>
      <w:r>
        <w:t>or inadequate reporting do not turn an otherwise computational paper into G1=no.</w:t>
      </w:r>
    </w:p>
    <w:p>
      <w:r>
        <w:t>G2: yes/no/uncertain identifiable principal target under the frozen hierarchy.</w:t>
      </w:r>
    </w:p>
    <w:p>
      <w:r>
        <w:t>G3: public / obtainable_without_payment / restricted_but_potentially_accessible /</w:t>
      </w:r>
    </w:p>
    <w:p>
      <w:r>
        <w:t>unavailable / insufficiently_identified / not_applicable / unknown.</w:t>
      </w:r>
    </w:p>
    <w:p>
      <w:r>
        <w:t>G4: required function available under the commercial-software policy, with</w:t>
      </w:r>
    </w:p>
    <w:p>
      <w:r>
        <w:t>separate version and access reasons. G5: sufficient / insufficient / uncertain</w:t>
      </w:r>
    </w:p>
    <w:p>
      <w:r>
        <w:t>specification for an attempt. G6–G9 concern created implementation, execution,</w:t>
      </w:r>
    </w:p>
    <w:p>
      <w:r>
        <w:t>numerical agreement and preservation of the target-linked conclusion.</w:t>
      </w:r>
    </w:p>
    <w:p>
      <w:r>
        <w:t>Store gates independently and derive sequential at-risk sets. Preserve unknown,</w:t>
      </w:r>
    </w:p>
    <w:p>
      <w:r>
        <w:t>unassessed and inaccessible categories. No gate is inferred from an EPJ regex</w:t>
      </w:r>
    </w:p>
    <w:p>
      <w:r>
        <w:t>flag. Ordinary free public registration may be allowed if available to any reader;</w:t>
      </w:r>
    </w:p>
    <w:p>
      <w:r>
        <w:t>individual institutional permissions are restricted even when no fee is charged.</w:t>
      </w:r>
    </w:p>
    <w:p>
      <w:r>
        <w:t>Transient failed downloads remain unknown after a documented limited retry policy,</w:t>
      </w:r>
    </w:p>
    <w:p>
      <w:r>
        <w:t>not evidence that the underlying data do not exist.</w:t>
      </w:r>
    </w:p>
    <w:p>
      <w:r>
        <w:t>Article-text obtainability is recorded separately from G1–G5 as a prospective</w:t>
      </w:r>
    </w:p>
    <w:p>
      <w:r>
        <w:t>access status: `lawful_text_retained` (identity-verified open PMC JATS, a</w:t>
      </w:r>
    </w:p>
    <w:p>
      <w:r>
        <w:t>licensed publisher/repository copy, or an author-supplied copy), `no_lawful_public_text_located` (only closed locations found after the documented route checks) or</w:t>
      </w:r>
    </w:p>
    <w:p>
      <w:r>
        <w:t>`route_check_incomplete`. A paper whose allowed material cannot be lawfully</w:t>
      </w:r>
    </w:p>
    <w:p>
      <w:r>
        <w:t>retained before the pilot cannot be a pilot case and is recorded as prospectively</w:t>
      </w:r>
    </w:p>
    <w:p>
      <w:r>
        <w:t>unavailable to the pilot with the routes checked; this is not a G3 input verdict,</w:t>
      </w:r>
    </w:p>
    <w:p>
      <w:r>
        <w:t>not a G1 negative and does not remove the paper from the main frame. Machine</w:t>
      </w:r>
    </w:p>
    <w:p>
      <w:r>
        <w:t>screening of retained text yields provisional G1/G2 proposals only; human</w:t>
      </w:r>
    </w:p>
    <w:p>
      <w:r>
        <w:t>adjudication against the retained bytes is required before any gate is recorded.</w:t>
      </w:r>
    </w:p>
    <w:p>
      <w:r>
        <w:t>If the author delegates the first pass, the delegated gates are recorded as a</w:t>
      </w:r>
    </w:p>
    <w:p>
      <w:r>
        <w:t>named primary-assessment record with a deviation entry, every gate citing segment</w:t>
      </w:r>
    </w:p>
    <w:p>
      <w:r>
        <w:t>IDs of the hash-checked retained bytes, and remain provisional: the funnel stays</w:t>
      </w:r>
    </w:p>
    <w:p>
      <w:r>
        <w:t>unassessed and no pilot selection is frozen until the author verifies or overturns</w:t>
      </w:r>
    </w:p>
    <w:p>
      <w:r>
        <w:t>each gate. Delegated or author adjudication may skip a candidate only for absent</w:t>
      </w:r>
    </w:p>
    <w:p>
      <w:r>
        <w:t>lawfully retained text or for G1/G2 ineligibility, never for G3, G4, G5 or</w:t>
      </w:r>
    </w:p>
    <w:p>
      <w:r>
        <w:t>expected reconstruction difficulty, and every skipped candidate is retained with</w:t>
      </w:r>
    </w:p>
    <w:p>
      <w:r>
        <w:t>its reason in the deterministic chain.</w:t>
      </w:r>
    </w:p>
    <w:p>
      <w:pPr>
        <w:pStyle w:val="Heading2"/>
      </w:pPr>
      <w:r>
        <w:t>Prospective pilot and freeze sequence</w:t>
      </w:r>
    </w:p>
    <w:p>
      <w:r>
        <w:t>After harness qualification, select seven pilot papers,</w:t>
      </w:r>
    </w:p>
    <w:p>
      <w:r>
        <w:t>one from each nonempty disjoint field assignment, by the deterministic hash</w:t>
      </w:r>
    </w:p>
    <w:p>
      <w:r>
        <w:t>procedure in SAP. These are feasibility cases excluded from the main sample.</w:t>
      </w:r>
    </w:p>
    <w:p>
      <w:r>
        <w:t>Use main-frame replacements only if prospectively ineligible, recording every</w:t>
      </w:r>
    </w:p>
    <w:p>
      <w:r>
        <w:t>reason; do not replace difficult reconstruction outcomes.</w:t>
      </w:r>
    </w:p>
    <w:p>
      <w:r>
        <w:t>Pilot only the same information-access intervention intended for the main study.</w:t>
      </w:r>
    </w:p>
    <w:p>
      <w:r>
        <w:t>Use it to finalize target comparability, tolerances, scoring, access procedures,</w:t>
      </w:r>
    </w:p>
    <w:p>
      <w:r>
        <w:t>budgets, stopping rules and telemetry. No post-pilot numerical choices are final</w:t>
      </w:r>
    </w:p>
    <w:p>
      <w:r>
        <w:t>until all named protocol documents, prompts, manifests, image and tool registry</w:t>
      </w:r>
    </w:p>
    <w:p>
      <w:r>
        <w:t>are hashed and externally timestamped. A Git commit or this draft's date alone</w:t>
      </w:r>
    </w:p>
    <w:p>
      <w:r>
        <w:t>does not establish prospective freeze.</w:t>
      </w:r>
    </w:p>
    <w:p>
      <w:r>
        <w:t>Freeze all documents in this directory, resolve every `NOT_COMPLETED` gate,</w:t>
      </w:r>
    </w:p>
    <w:p>
      <w:r>
        <w:t>record the model/version available to the investigator, preregister when an</w:t>
      </w:r>
    </w:p>
    <w:p>
      <w:r>
        <w:t>appropriate public record is available, then sample the main study and seal</w:t>
      </w:r>
    </w:p>
    <w:p>
      <w:r>
        <w:t>paper-specific targets before runs. Later changes require an explicit deviation</w:t>
      </w:r>
    </w:p>
    <w:p>
      <w:r>
        <w:t>record, not a rewritten historical protocol.</w:t>
      </w:r>
    </w:p>
    <w:p>
      <w:pPr>
        <w:pStyle w:val="Heading2"/>
      </w:pPr>
      <w:r>
        <w:t>Measurement and governance</w:t>
      </w:r>
    </w:p>
    <w:p>
      <w:r>
        <w:t>Three fixed independent slots per paper use identical prompts, packages and</w:t>
      </w:r>
    </w:p>
    <w:p>
      <w:r>
        <w:t>permissions and equivalent model/resource settings. No shared mutable state,</w:t>
      </w:r>
    </w:p>
    <w:p>
      <w:r>
        <w:t>parent debugging, sibling results or original implementation is permitted.</w:t>
      </w:r>
    </w:p>
    <w:p>
      <w:r>
        <w:t>Outcomes L1–L5 remain separate. Numerical agreement is primary; conclusion</w:t>
      </w:r>
    </w:p>
    <w:p>
      <w:r>
        <w:t>preservation is secondary and must not rescue a numerical mismatch.</w:t>
      </w:r>
    </w:p>
    <w:p>
      <w:r>
        <w:t>Validated policy barriers remain in the all-eligible policy estimand but are not</w:t>
      </w:r>
    </w:p>
    <w:p>
      <w:r>
        <w:t>invented failed runs. Unresolved eligibility, access, contamination or missing</w:t>
      </w:r>
    </w:p>
    <w:p>
      <w:r>
        <w:t>runs remain unresolved. Agent failure cannot establish universal human</w:t>
      </w:r>
    </w:p>
    <w:p>
      <w:r>
        <w:t>impossibility or publication inadequacy.</w:t>
      </w:r>
    </w:p>
    <w:p>
      <w:r>
        <w:t>Human scientific interpretation and final author responsibility are required.</w:t>
      </w:r>
    </w:p>
    <w:p>
      <w:r>
        <w:t>Author list, affiliations, contributions, funding, interests, ethics determination</w:t>
      </w:r>
    </w:p>
    <w:p>
      <w:r>
        <w:t>for human performance data, and APC arrangements are not supplied or presumed.</w:t>
      </w:r>
    </w:p>
    <w:p>
      <w:r>
        <w:br w:type="page"/>
      </w:r>
    </w:p>
    <w:p>
      <w:pPr>
        <w:pStyle w:val="Heading1"/>
      </w:pPr>
      <w:r>
        <w:t>Quality-control protocol</w:t>
      </w:r>
    </w:p>
    <w:p>
      <w:r>
        <w:t>DRAFT — NOT FROZEN</w:t>
      </w:r>
    </w:p>
    <w:p>
      <w:r>
        <w:t>First perform a reviewer-perspective critique of question/novelty, statistical</w:t>
      </w:r>
    </w:p>
    <w:p>
      <w:r>
        <w:t>design, figures/tables, reproducibility and claim strength. Rank each issue by</w:t>
      </w:r>
    </w:p>
    <w:p>
      <w:r>
        <w:t>scientific severity, expected benefit and feasibility. Mechanical formatting</w:t>
      </w:r>
    </w:p>
    <w:p>
      <w:r>
        <w:t>cannot overrule a fatal scientific gap.</w:t>
      </w:r>
    </w:p>
    <w:p>
      <w:r>
        <w:t>Required final audits: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040"/>
        <w:gridCol w:w="5040"/>
      </w:tblGrid>
      <w:tr>
        <w:tc>
          <w:tcPr>
            <w:tcW w:type="dxa" w:w="5040"/>
          </w:tcPr>
          <w:p>
            <w:pPr>
              <w:keepNext/>
            </w:pPr>
            <w:r>
              <w:rPr>
                <w:sz w:val="18"/>
              </w:rPr>
              <w:t>Audit</w:t>
            </w:r>
          </w:p>
        </w:tc>
        <w:tc>
          <w:tcPr>
            <w:tcW w:type="dxa" w:w="5040"/>
          </w:tcPr>
          <w:p>
            <w:pPr>
              <w:keepNext/>
            </w:pPr>
            <w:r>
              <w:rPr>
                <w:sz w:val="18"/>
              </w:rPr>
              <w:t>Evidence required</w:t>
            </w:r>
          </w:p>
        </w:tc>
      </w:tr>
      <w:tr>
        <w:tc>
          <w:tcPr>
            <w:tcW w:type="dxa" w:w="5040"/>
          </w:tcPr>
          <w:p>
            <w:pPr>
              <w:keepNext/>
            </w:pPr>
            <w:r>
              <w:rPr>
                <w:sz w:val="18"/>
              </w:rPr>
              <w:t>Fabrication</w:t>
            </w:r>
          </w:p>
        </w:tc>
        <w:tc>
          <w:tcPr>
            <w:tcW w:type="dxa" w:w="5040"/>
          </w:tcPr>
          <w:p>
            <w:pPr>
              <w:keepNext/>
            </w:pPr>
            <w:r>
              <w:rPr>
                <w:sz w:val="18"/>
              </w:rPr>
              <w:t>Every empirical row from real source or observed run; empty human/agent tables not scored.</w:t>
            </w:r>
          </w:p>
        </w:tc>
      </w:tr>
      <w:tr>
        <w:tc>
          <w:tcPr>
            <w:tcW w:type="dxa" w:w="5040"/>
          </w:tcPr>
          <w:p>
            <w:pPr>
              <w:keepNext/>
            </w:pPr>
            <w:r>
              <w:rPr>
                <w:sz w:val="18"/>
              </w:rPr>
              <w:t>Numerical</w:t>
            </w:r>
          </w:p>
        </w:tc>
        <w:tc>
          <w:tcPr>
            <w:tcW w:type="dxa" w:w="5040"/>
          </w:tcPr>
          <w:p>
            <w:pPr>
              <w:keepNext/>
            </w:pPr>
            <w:r>
              <w:rPr>
                <w:sz w:val="18"/>
              </w:rPr>
              <w:t>Manuscript/table/figure values derived from canonical results and raw source hashes.</w:t>
            </w:r>
          </w:p>
        </w:tc>
      </w:tr>
      <w:tr>
        <w:tc>
          <w:tcPr>
            <w:tcW w:type="dxa" w:w="5040"/>
          </w:tcPr>
          <w:p>
            <w:pPr>
              <w:keepNext/>
            </w:pPr>
            <w:r>
              <w:rPr>
                <w:sz w:val="18"/>
              </w:rPr>
              <w:t>Denominator</w:t>
            </w:r>
          </w:p>
        </w:tc>
        <w:tc>
          <w:tcPr>
            <w:tcW w:type="dxa" w:w="5040"/>
          </w:tcPr>
          <w:p>
            <w:pPr>
              <w:keepNext/>
            </w:pPr>
            <w:r>
              <w:rPr>
                <w:sz w:val="18"/>
              </w:rPr>
              <w:t>Unique paper versus source row; at-risk versus full frame; missing and contaminated slots; sample weights.</w:t>
            </w:r>
          </w:p>
        </w:tc>
      </w:tr>
      <w:tr>
        <w:tc>
          <w:tcPr>
            <w:tcW w:type="dxa" w:w="5040"/>
          </w:tcPr>
          <w:p>
            <w:pPr>
              <w:keepNext/>
            </w:pPr>
            <w:r>
              <w:rPr>
                <w:sz w:val="18"/>
              </w:rPr>
              <w:t>Figures/tables</w:t>
            </w:r>
          </w:p>
        </w:tc>
        <w:tc>
          <w:tcPr>
            <w:tcW w:type="dxa" w:w="5040"/>
          </w:tcPr>
          <w:p>
            <w:pPr>
              <w:keepNext/>
            </w:pPr>
            <w:r>
              <w:rPr>
                <w:sz w:val="18"/>
              </w:rPr>
              <w:t>Sequential citations, no orphan elements, English labels, editable outputs and journal-appropriate placement.</w:t>
            </w:r>
          </w:p>
        </w:tc>
      </w:tr>
      <w:tr>
        <w:tc>
          <w:tcPr>
            <w:tcW w:type="dxa" w:w="5040"/>
          </w:tcPr>
          <w:p>
            <w:pPr>
              <w:keepNext/>
            </w:pPr>
            <w:r>
              <w:rPr>
                <w:sz w:val="18"/>
              </w:rPr>
              <w:t>Methods/code</w:t>
            </w:r>
          </w:p>
        </w:tc>
        <w:tc>
          <w:tcPr>
            <w:tcW w:type="dxa" w:w="5040"/>
          </w:tcPr>
          <w:p>
            <w:pPr>
              <w:keepNext/>
            </w:pPr>
            <w:r>
              <w:rPr>
                <w:sz w:val="18"/>
              </w:rPr>
              <w:t>Every claimed method implemented and exercised; no unperformed freeze, interval or validation claims.</w:t>
            </w:r>
          </w:p>
        </w:tc>
      </w:tr>
      <w:tr>
        <w:tc>
          <w:tcPr>
            <w:tcW w:type="dxa" w:w="5040"/>
          </w:tcPr>
          <w:p>
            <w:pPr>
              <w:keepNext/>
            </w:pPr>
            <w:r>
              <w:rPr>
                <w:sz w:val="18"/>
              </w:rPr>
              <w:t>Endpoint</w:t>
            </w:r>
          </w:p>
        </w:tc>
        <w:tc>
          <w:tcPr>
            <w:tcW w:type="dxa" w:w="5040"/>
          </w:tcPr>
          <w:p>
            <w:pPr>
              <w:keepNext/>
            </w:pPr>
            <w:r>
              <w:rPr>
                <w:sz w:val="18"/>
              </w:rPr>
              <w:t>Target and tolerance sealed before run; no post-hoc easiest target.</w:t>
            </w:r>
          </w:p>
        </w:tc>
      </w:tr>
      <w:tr>
        <w:tc>
          <w:tcPr>
            <w:tcW w:type="dxa" w:w="5040"/>
          </w:tcPr>
          <w:p>
            <w:pPr>
              <w:keepNext/>
            </w:pPr>
            <w:r>
              <w:rPr>
                <w:sz w:val="18"/>
              </w:rPr>
              <w:t>Firewall</w:t>
            </w:r>
          </w:p>
        </w:tc>
        <w:tc>
          <w:tcPr>
            <w:tcW w:type="dxa" w:w="5040"/>
          </w:tcPr>
          <w:p>
            <w:pPr>
              <w:keepNext/>
            </w:pPr>
            <w:r>
              <w:rPr>
                <w:sz w:val="18"/>
              </w:rPr>
              <w:t>Qualified broker and control-plane restriction, access telemetry, canary failures, contamination adjudication.</w:t>
            </w:r>
          </w:p>
        </w:tc>
      </w:tr>
      <w:tr>
        <w:tc>
          <w:tcPr>
            <w:tcW w:type="dxa" w:w="5040"/>
          </w:tcPr>
          <w:p>
            <w:pPr>
              <w:keepNext/>
            </w:pPr>
            <w:r>
              <w:rPr>
                <w:sz w:val="18"/>
              </w:rPr>
              <w:t>Independence</w:t>
            </w:r>
          </w:p>
        </w:tc>
        <w:tc>
          <w:tcPr>
            <w:tcW w:type="dxa" w:w="5040"/>
          </w:tcPr>
          <w:p>
            <w:pPr>
              <w:keepNext/>
            </w:pPr>
            <w:r>
              <w:rPr>
                <w:sz w:val="18"/>
              </w:rPr>
              <w:t>Separate contexts and mutable storage; no parent/sibling debugging.</w:t>
            </w:r>
          </w:p>
        </w:tc>
      </w:tr>
      <w:tr>
        <w:tc>
          <w:tcPr>
            <w:tcW w:type="dxa" w:w="5040"/>
          </w:tcPr>
          <w:p>
            <w:pPr>
              <w:keepNext/>
            </w:pPr>
            <w:r>
              <w:rPr>
                <w:sz w:val="18"/>
              </w:rPr>
              <w:t>Commercial policy</w:t>
            </w:r>
          </w:p>
        </w:tc>
        <w:tc>
          <w:tcPr>
            <w:tcW w:type="dxa" w:w="5040"/>
          </w:tcPr>
          <w:p>
            <w:pPr>
              <w:keepNext/>
            </w:pPr>
            <w:r>
              <w:rPr>
                <w:sz w:val="18"/>
              </w:rPr>
              <w:t>Software invoices/entitlements or explicit zero-purchase evidence; compute costs distinct.</w:t>
            </w:r>
          </w:p>
        </w:tc>
      </w:tr>
      <w:tr>
        <w:tc>
          <w:tcPr>
            <w:tcW w:type="dxa" w:w="5040"/>
          </w:tcPr>
          <w:p>
            <w:pPr>
              <w:keepNext/>
            </w:pPr>
            <w:r>
              <w:rPr>
                <w:sz w:val="18"/>
              </w:rPr>
              <w:t>Failure attribution</w:t>
            </w:r>
          </w:p>
        </w:tc>
        <w:tc>
          <w:tcPr>
            <w:tcW w:type="dxa" w:w="5040"/>
          </w:tcPr>
          <w:p>
            <w:pPr>
              <w:keepNext/>
            </w:pPr>
            <w:r>
              <w:rPr>
                <w:sz w:val="18"/>
              </w:rPr>
              <w:t>Observations and causal explanations distinguished; uncertain categories preserved.</w:t>
            </w:r>
          </w:p>
        </w:tc>
      </w:tr>
      <w:tr>
        <w:tc>
          <w:tcPr>
            <w:tcW w:type="dxa" w:w="5040"/>
          </w:tcPr>
          <w:p>
            <w:pPr>
              <w:keepNext/>
            </w:pPr>
            <w:r>
              <w:rPr>
                <w:sz w:val="18"/>
              </w:rPr>
              <w:t>Human blinding</w:t>
            </w:r>
          </w:p>
        </w:tc>
        <w:tc>
          <w:tcPr>
            <w:tcW w:type="dxa" w:w="5040"/>
          </w:tcPr>
          <w:p>
            <w:pPr>
              <w:keepNext/>
            </w:pPr>
            <w:r>
              <w:rPr>
                <w:sz w:val="18"/>
              </w:rPr>
              <w:t>Genuine participation, ethics/consent determination, masked packages and scores.</w:t>
            </w:r>
          </w:p>
        </w:tc>
      </w:tr>
      <w:tr>
        <w:tc>
          <w:tcPr>
            <w:tcW w:type="dxa" w:w="5040"/>
          </w:tcPr>
          <w:p>
            <w:pPr>
              <w:keepNext/>
            </w:pPr>
            <w:r>
              <w:rPr>
                <w:sz w:val="18"/>
              </w:rPr>
              <w:t>Reveal</w:t>
            </w:r>
          </w:p>
        </w:tc>
        <w:tc>
          <w:tcPr>
            <w:tcW w:type="dxa" w:w="5040"/>
          </w:tcPr>
          <w:p>
            <w:pPr>
              <w:keepNext/>
            </w:pPr>
            <w:r>
              <w:rPr>
                <w:sz w:val="18"/>
              </w:rPr>
              <w:t>Frozen outcomes precede original-code access; no perturbation or revised score.</w:t>
            </w:r>
          </w:p>
        </w:tc>
      </w:tr>
      <w:tr>
        <w:tc>
          <w:tcPr>
            <w:tcW w:type="dxa" w:w="5040"/>
          </w:tcPr>
          <w:p>
            <w:pPr>
              <w:keepNext/>
            </w:pPr>
            <w:r>
              <w:rPr>
                <w:sz w:val="18"/>
              </w:rPr>
              <w:t>References/novelty</w:t>
            </w:r>
          </w:p>
        </w:tc>
        <w:tc>
          <w:tcPr>
            <w:tcW w:type="dxa" w:w="5040"/>
          </w:tcPr>
          <w:p>
            <w:pPr>
              <w:keepNext/>
            </w:pPr>
            <w:r>
              <w:rPr>
                <w:sz w:val="18"/>
              </w:rPr>
              <w:t>Primary source, version, DOI, status and supported claim; no unsupported “first”.</w:t>
            </w:r>
          </w:p>
        </w:tc>
      </w:tr>
      <w:tr>
        <w:tc>
          <w:tcPr>
            <w:tcW w:type="dxa" w:w="5040"/>
          </w:tcPr>
          <w:p>
            <w:pPr>
              <w:keepNext/>
            </w:pPr>
            <w:r>
              <w:rPr>
                <w:sz w:val="18"/>
              </w:rPr>
              <w:t>Discussion/abstract</w:t>
            </w:r>
          </w:p>
        </w:tc>
        <w:tc>
          <w:tcPr>
            <w:tcW w:type="dxa" w:w="5040"/>
          </w:tcPr>
          <w:p>
            <w:pPr>
              <w:keepNext/>
            </w:pPr>
            <w:r>
              <w:rPr>
                <w:sz w:val="18"/>
              </w:rPr>
              <w:t>No inference from agent failure to human impossibility; no unavailable results.</w:t>
            </w:r>
          </w:p>
        </w:tc>
      </w:tr>
      <w:tr>
        <w:tc>
          <w:tcPr>
            <w:tcW w:type="dxa" w:w="5040"/>
          </w:tcPr>
          <w:p>
            <w:pPr>
              <w:keepNext/>
            </w:pPr>
            <w:r>
              <w:rPr>
                <w:sz w:val="18"/>
              </w:rPr>
              <w:t>Supplement</w:t>
            </w:r>
          </w:p>
        </w:tc>
        <w:tc>
          <w:tcPr>
            <w:tcW w:type="dxa" w:w="5040"/>
          </w:tcPr>
          <w:p>
            <w:pPr>
              <w:keepNext/>
            </w:pPr>
            <w:r>
              <w:rPr>
                <w:sz w:val="18"/>
              </w:rPr>
              <w:t>All protocol versions, deviations, schemas, rights/access paths and reproducible code.</w:t>
            </w:r>
          </w:p>
        </w:tc>
      </w:tr>
      <w:tr>
        <w:tc>
          <w:tcPr>
            <w:tcW w:type="dxa" w:w="5040"/>
          </w:tcPr>
          <w:p>
            <w:pPr>
              <w:keepNext w:val="0"/>
            </w:pPr>
            <w:r>
              <w:rPr>
                <w:sz w:val="18"/>
              </w:rPr>
              <w:t>Rebuild</w:t>
            </w:r>
          </w:p>
        </w:tc>
        <w:tc>
          <w:tcPr>
            <w:tcW w:type="dxa" w:w="5040"/>
          </w:tcPr>
          <w:p>
            <w:pPr>
              <w:keepNext w:val="0"/>
            </w:pPr>
            <w:r>
              <w:rPr>
                <w:sz w:val="18"/>
              </w:rPr>
              <w:t>Clean public checkout and stated inputs regenerate every submitted result without private files.</w:t>
            </w:r>
          </w:p>
        </w:tc>
      </w:tr>
    </w:tbl>
    <w:p>
      <w:r>
        <w:t>Automated checks currently cover immutable sources, duplicate conflicts,</w:t>
      </w:r>
    </w:p>
    <w:p>
      <w:r>
        <w:t>identity/membership preservation, unknown-aware slot logic, implementation/</w:t>
      </w:r>
    </w:p>
    <w:p>
      <w:r>
        <w:t>execution/numerical consistency, timestamp ordering, scalar rounding,</w:t>
      </w:r>
    </w:p>
    <w:p>
      <w:r>
        <w:t>sampling invariance and reference interval calculations. These are software</w:t>
      </w:r>
    </w:p>
    <w:p>
      <w:r>
        <w:t>checks, not validation of source labels or the unimplemented experimental harness.</w:t>
      </w:r>
    </w:p>
    <w:p>
      <w:r>
        <w:t>Before submission, repeat targeted literature and live journal-guideline checks,</w:t>
      </w:r>
    </w:p>
    <w:p>
      <w:r>
        <w:t>generate the final empirical manuscript from the frozen study data, review all</w:t>
      </w:r>
    </w:p>
    <w:p>
      <w:r>
        <w:t>author declarations, render every document and manually inspect it, and archive</w:t>
      </w:r>
    </w:p>
    <w:p>
      <w:r>
        <w:t>a versioned lawful release. `submission-check` must remain blocked until those</w:t>
      </w:r>
    </w:p>
    <w:p>
      <w:r>
        <w:t>requirements are implemented and evidenced; never weaken it to make a build green.</w:t>
      </w:r>
    </w:p>
    <w:p>
      <w:r>
        <w:br w:type="page"/>
      </w:r>
    </w:p>
    <w:p>
      <w:pPr>
        <w:pStyle w:val="Heading1"/>
      </w:pPr>
      <w:r>
        <w:t>Blind freeze and descriptive reveal</w:t>
      </w:r>
    </w:p>
    <w:p>
      <w:r>
        <w:t>DRAFT — NOT FROZEN; original corpus-paper implementations have not been revealed.</w:t>
      </w:r>
    </w:p>
    <w:p>
      <w:r>
        <w:t>Close all main blind slots, adjudicate and freeze outcomes/codes/comparisons,</w:t>
      </w:r>
    </w:p>
    <w:p>
      <w:r>
        <w:t>then hash code, inputs, outputs, public action logs, access events and manifests.</w:t>
      </w:r>
    </w:p>
    <w:p>
      <w:r>
        <w:t>Record byte counts, UTC freeze, independent timestamp receipt and artifact IDs</w:t>
      </w:r>
    </w:p>
    <w:p>
      <w:r>
        <w:t>in `blind_freeze_manifest.csv`. Seal human blind packages before reveal.</w:t>
      </w:r>
    </w:p>
    <w:p>
      <w:r>
        <w:t>The required ordering is target selected &lt; run start &lt; run stop &lt;= blind freeze</w:t>
      </w:r>
    </w:p>
    <w:p>
      <w:r>
        <w:t>&lt; original-code reveal. No missing timestamp may be invented or backdated.</w:t>
      </w:r>
    </w:p>
    <w:p>
      <w:r>
        <w:t>A checksum alone proves content identity, not when the content existed.</w:t>
      </w:r>
    </w:p>
    <w:p>
      <w:r>
        <w:t>A separate reveal reviewer may then inspect original code where lawfully</w:t>
      </w:r>
    </w:p>
    <w:p>
      <w:r>
        <w:t>available. Compare publication, independent implementation and original choices</w:t>
      </w:r>
    </w:p>
    <w:p>
      <w:r>
        <w:t>for normalization, filters, missing-data handling, initialization, seeds,</w:t>
      </w:r>
    </w:p>
    <w:p>
      <w:r>
        <w:t>stopping, defaults, preprocessing order, exclusions, manual transformations,</w:t>
      </w:r>
    </w:p>
    <w:p>
      <w:r>
        <w:t>constants, boundaries, data cleaning and versions. Use explicit/partial/</w:t>
      </w:r>
    </w:p>
    <w:p>
      <w:r>
        <w:t>ambiguous/not_reported for description completeness. Preserve source evidence.</w:t>
      </w:r>
    </w:p>
    <w:p>
      <w:r>
        <w:t>Reveal is descriptive only. Do not rerun with original choices, substitute</w:t>
      </w:r>
    </w:p>
    <w:p>
      <w:r>
        <w:t>original code, perturb any discrepancy or revise the frozen blind score.</w:t>
      </w:r>
    </w:p>
    <w:p>
      <w:r>
        <w:t>Unavailable original code yields a missing reveal assessment, not a negative</w:t>
      </w:r>
    </w:p>
    <w:p>
      <w:r>
        <w:t>description-quality finding. Human validators must never see reveal material.</w:t>
      </w:r>
    </w:p>
    <w:p>
      <w:r>
        <w:br w:type="page"/>
      </w:r>
    </w:p>
    <w:p>
      <w:pPr>
        <w:pStyle w:val="Heading1"/>
      </w:pPr>
      <w:r>
        <w:t>Statistical analysis plan</w:t>
      </w:r>
    </w:p>
    <w:p>
      <w:r>
        <w:t>DRAFT — NOT FROZEN. No main-study outcomes have been inspected.</w:t>
      </w:r>
    </w:p>
    <w:p>
      <w:pPr>
        <w:pStyle w:val="Heading2"/>
      </w:pPr>
      <w:r>
        <w:t>Estimands and denominators</w:t>
      </w:r>
    </w:p>
    <w:p>
      <w:r>
        <w:t>The population is the author-approved unique-PMID frame derived from the fixed</w:t>
      </w:r>
    </w:p>
    <w:p>
      <w:r>
        <w:t>deposit, not all publications. Its exact count, ordered CSV hash and source/decision</w:t>
      </w:r>
    </w:p>
    <w:p>
      <w:r>
        <w:t>provenance are in `results/frame_manifest.json`. Preserve source rows and all recorded</w:t>
      </w:r>
    </w:p>
    <w:p>
      <w:r>
        <w:t>field memberships in the separate bridge; no replacement publications are added.</w:t>
      </w:r>
    </w:p>
    <w:p>
      <w:r>
        <w:t>Let E denote G1=yes papers and U denote G1=uncertain papers. The proposed primary</w:t>
      </w:r>
    </w:p>
    <w:p>
      <w:r>
        <w:t>estimand is end-to-end policy demonstration among E, with all verified access</w:t>
      </w:r>
    </w:p>
    <w:p>
      <w:r>
        <w:t>barriers retained. For an assessable attempted paper the endpoint is at least</w:t>
      </w:r>
    </w:p>
    <w:p>
      <w:r>
        <w:t>two valid successes among three fixed slots. A verified indispensable gate</w:t>
      </w:r>
    </w:p>
    <w:p>
      <w:r>
        <w:t>barrier is policy non-success, with `not_attempted_gate_barrier`; it does not</w:t>
      </w:r>
    </w:p>
    <w:p>
      <w:r>
        <w:t>produce three failed runs. Unresolved gates yield an unknown endpoint.</w:t>
      </w:r>
    </w:p>
    <w:p>
      <w:r>
        <w:t>The conditional rate among attempted papers is secondary, with its own denominator.</w:t>
      </w:r>
    </w:p>
    <w:p>
      <w:r>
        <w:t>G5 insufficiency alone must not select difficult but attemptable papers out.</w:t>
      </w:r>
    </w:p>
    <w:p>
      <w:r>
        <w:t>For an assessed gate, report yes, no and unknown/unassessed counts over both the</w:t>
      </w:r>
    </w:p>
    <w:p>
      <w:r>
        <w:t>original paper set and the actual conditional risk set. Supply identification</w:t>
      </w:r>
    </w:p>
    <w:p>
      <w:r>
        <w:t>bounds [yes/N, (yes+unresolved)/N] and the resolved-case rate separately. Do not</w:t>
      </w:r>
    </w:p>
    <w:p>
      <w:r>
        <w:t>multiply marginal gate rates to construct a funnel. Full-frame census proportions</w:t>
      </w:r>
    </w:p>
    <w:p>
      <w:r>
        <w:t>have no paper-sampling uncertainty; any binomial interval must be labelled a</w:t>
      </w:r>
    </w:p>
    <w:p>
      <w:r>
        <w:t>model-based reference, not a census sampling confidence interval. Classification</w:t>
      </w:r>
    </w:p>
    <w:p>
      <w:r>
        <w:t>uncertainty and validation sampling uncertainty require separate reporting.</w:t>
      </w:r>
    </w:p>
    <w:p>
      <w:pPr>
        <w:pStyle w:val="Heading2"/>
      </w:pPr>
      <w:r>
        <w:t>Sampling</w:t>
      </w:r>
    </w:p>
    <w:p>
      <w:r>
        <w:t>Use disjoint assignment before looking at outcomes: among each paper's recorded</w:t>
      </w:r>
    </w:p>
    <w:p>
      <w:r>
        <w:t>field labels choose the label with minimum SHA256 of</w:t>
      </w:r>
    </w:p>
    <w:p>
      <w:r>
        <w:t>`paper2-field-v1|paper_id|field`. Retain every original membership in the bridge.</w:t>
      </w:r>
    </w:p>
    <w:p>
      <w:r>
        <w:t>After removing pilot cases and deciding eligibility, allocate about 100 main</w:t>
      </w:r>
    </w:p>
    <w:p>
      <w:r>
        <w:t>papers across nonempty assigned fields. Set one place per nonempty field, then</w:t>
      </w:r>
    </w:p>
    <w:p>
      <w:r>
        <w:t>assign each remaining place to the field with largest proportional allocation</w:t>
      </w:r>
    </w:p>
    <w:p>
      <w:r>
        <w:t>deficit, respecting its capacity; resolve ties lexicographically as implemented.</w:t>
      </w:r>
    </w:p>
    <w:p>
      <w:r>
        <w:t>Within field rank by SHA256 of `paper2-main-v1|paper_id`.</w:t>
      </w:r>
    </w:p>
    <w:p>
      <w:r>
        <w:t>Selection is reproducible and has equal within-field probability under the</w:t>
      </w:r>
    </w:p>
    <w:p>
      <w:r>
        <w:t>prespecified pseudorandom ranking model. Save seed, ordered frame hash, N_h, n_h,</w:t>
      </w:r>
    </w:p>
    <w:p>
      <w:r>
        <w:t>pi_h=n_h/N_h and weight N_h/n_h. No pilot or main selection has occurred.</w:t>
      </w:r>
    </w:p>
    <w:p>
      <w:r>
        <w:t>This field-stratified design is the conservative default. Do not add commercial,</w:t>
      </w:r>
    </w:p>
    <w:p>
      <w:r>
        <w:t>code or data cross-strata unless the pilot shows adequate occupancy and the</w:t>
      </w:r>
    </w:p>
    <w:p>
      <w:r>
        <w:t>amended allocation is frozen before outcomes. Software categories are</w:t>
      </w:r>
    </w:p>
    <w:p>
      <w:r>
        <w:t>commercial_only/open_only/both/neither_detected/unknown; a negative regex match</w:t>
      </w:r>
    </w:p>
    <w:p>
      <w:r>
        <w:t>does not establish absence. Known policy barriers can be tallied by census;</w:t>
      </w:r>
    </w:p>
    <w:p>
      <w:r>
        <w:t>sample the attemptable remainder without removing it from the headline denominator.</w:t>
      </w:r>
    </w:p>
    <w:p>
      <w:pPr>
        <w:pStyle w:val="Heading2"/>
      </w:pPr>
      <w:r>
        <w:t>Precision and estimates</w:t>
      </w:r>
    </w:p>
    <w:p>
      <w:r>
        <w:t>The build calculates Wilson intervals for planned n=100 at assumed p of 0.20,</w:t>
      </w:r>
    </w:p>
    <w:p>
      <w:r>
        <w:t>0.30, 0.50, 0.70 and 0.80. These are analytic unweighted binomial reference</w:t>
      </w:r>
    </w:p>
    <w:p>
      <w:r>
        <w:t>calculations, not study results or guarantees for the stratified design.</w:t>
      </w:r>
    </w:p>
    <w:p>
      <w:r>
        <w:t>For the attemptable stratum populations, estimate the success total as</w:t>
      </w:r>
    </w:p>
    <w:p>
      <w:r>
        <w:t>S_hat = sum_h N_h*ybar_h. The all-eligible policy estimate is S_hat/|E|,</w:t>
      </w:r>
    </w:p>
    <w:p>
      <w:r>
        <w:t>retaining verified indispensable barriers as policy non-success in |E|.</w:t>
      </w:r>
    </w:p>
    <w:p>
      <w:r>
        <w:t>The conditional attemptable-domain estimate is S_hat/sum_h N_h and must</w:t>
      </w:r>
    </w:p>
    <w:p>
      <w:r>
        <w:t>not be labelled the headline estimate. Eligible papers with unresolved gates</w:t>
      </w:r>
    </w:p>
    <w:p>
      <w:r>
        <w:t>remain in |E| and add zero/their count to lower/upper success-total bounds.</w:t>
      </w:r>
    </w:p>
    <w:p>
      <w:r>
        <w:t>For finite-population uncertainty with small strata or boundary successes, invert</w:t>
      </w:r>
    </w:p>
    <w:p>
      <w:r>
        <w:t>the hypergeometric distribution for the possible number of successful papers</w:t>
      </w:r>
    </w:p>
    <w:p>
      <w:r>
        <w:t>K_h in each stratum. Use two tail probabilities alpha/(2H) for H sampled strata</w:t>
      </w:r>
    </w:p>
    <w:p>
      <w:r>
        <w:t>and alpha=0.05; aggregate simultaneous lower and upper K_h bounds, then divide by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040"/>
        <w:gridCol w:w="5040"/>
      </w:tblGrid>
      <w:tr>
        <w:tc>
          <w:tcPr>
            <w:tcW w:type="dxa" w:w="5040"/>
          </w:tcPr>
          <w:p>
            <w:pPr>
              <w:keepNext w:val="0"/>
            </w:pPr>
            <w:r>
              <w:rPr>
                <w:sz w:val="18"/>
              </w:rPr>
              <w:t>E</w:t>
            </w:r>
          </w:p>
        </w:tc>
        <w:tc>
          <w:tcPr>
            <w:tcW w:type="dxa" w:w="5040"/>
          </w:tcPr>
          <w:p>
            <w:pPr>
              <w:keepNext w:val="0"/>
            </w:pPr>
            <w:r>
              <w:rPr>
                <w:sz w:val="18"/>
              </w:rPr>
              <w:t>for the headline or sum_h N_h for the conditional domain. Add unresolved-gate</w:t>
            </w:r>
          </w:p>
        </w:tc>
      </w:tr>
    </w:tbl>
    <w:p>
      <w:r>
        <w:t>counts to the upper headline bound. Label this as a sampling-and-identification</w:t>
      </w:r>
    </w:p>
    <w:p>
      <w:r>
        <w:t>envelope when unknown gates remain. This conservative interval avoids zero estimated</w:t>
      </w:r>
    </w:p>
    <w:p>
      <w:r>
        <w:t>variance in all-success/all-failure strata. Census strata have exact totals.</w:t>
      </w:r>
    </w:p>
    <w:p>
      <w:r>
        <w:t>The estimator and interval are implemented in `src/paper2/estimation.py`.</w:t>
      </w:r>
    </w:p>
    <w:p>
      <w:r>
        <w:t>Exhaustive enumeration checks finite-population coverage for all sample sizes</w:t>
      </w:r>
    </w:p>
    <w:p>
      <w:r>
        <w:t>and success totals in populations up to 12; boundary, census, unequal-weight,</w:t>
      </w:r>
    </w:p>
    <w:p>
      <w:r>
        <w:t>unknown-outcome and denominator checks are also included. These software tests</w:t>
      </w:r>
    </w:p>
    <w:p>
      <w:r>
        <w:t>are not empirical study estimates; protocol freeze remains pending.</w:t>
      </w:r>
    </w:p>
    <w:p>
      <w:r>
        <w:t>If a paper outcome is unresolved, calculate endpoint lower/upper estimates by</w:t>
      </w:r>
    </w:p>
    <w:p>
      <w:r>
        <w:t>assigning unresolved outcomes 0/1 solely for identification bounds, explicitly</w:t>
      </w:r>
    </w:p>
    <w:p>
      <w:r>
        <w:t>labelled. Obtain sampling bounds for each endpoint; do not present the resulting</w:t>
      </w:r>
    </w:p>
    <w:p>
      <w:r>
        <w:t>envelope as an ordinary missing-at-random confidence interval. In E plus U,</w:t>
      </w:r>
    </w:p>
    <w:p>
      <w:r>
        <w:t>worst-case eligibility bounds are [L_E/(|E|+|U|),</w:t>
      </w:r>
    </w:p>
    <w:p>
      <w:r>
        <w:t>(U_E+|U|)/(|E|+|U|)], where L_E and U_E are eligible-set lower/upper success totals.</w:t>
      </w:r>
    </w:p>
    <w:p>
      <w:r>
        <w:t>For sampled outcomes, carry sampling bounds into these limits.</w:t>
      </w:r>
    </w:p>
    <w:p>
      <w:pPr>
        <w:pStyle w:val="Heading2"/>
      </w:pPr>
      <w:r>
        <w:t>Run and paper summaries</w:t>
      </w:r>
    </w:p>
    <w:p>
      <w:r>
        <w:t>Each valid run requires implementation, execution and target agreement.</w:t>
      </w:r>
    </w:p>
    <w:p>
      <w:r>
        <w:t>For fixed slots, k = clean successes and m = missing/invalid slots.</w:t>
      </w:r>
    </w:p>
    <w:p>
      <w:r>
        <w:t>Threshold t is achieved if k&gt;=t, failed if k+m&lt;t, otherwise unknown.</w:t>
      </w:r>
    </w:p>
    <w:p>
      <w:r>
        <w:t>Use t=2 primary, t=3 strict and t=1 permissive.</w:t>
      </w:r>
    </w:p>
    <w:p>
      <w:r>
        <w:t>Show 0/3–3/3 only for fully assessable clean triples, and display the incomplete</w:t>
      </w:r>
    </w:p>
    <w:p>
      <w:r>
        <w:t>triple count alongside. Never reduce a contaminated triple to a new denominator.</w:t>
      </w:r>
    </w:p>
    <w:p>
      <w:r>
        <w:t>Report each L1–L5 separately, including applicable conditional and unconditional</w:t>
      </w:r>
    </w:p>
    <w:p>
      <w:r>
        <w:t>denominators. Preserve distinct point/interval/p-value/conclusion comparisons.</w:t>
      </w:r>
    </w:p>
    <w:p>
      <w:r>
        <w:t>Failure frequency uses papers and runs as separate units; multiple codes may</w:t>
      </w:r>
    </w:p>
    <w:p>
      <w:r>
        <w:t>sum above the denominator. Burden uses median, quartiles, range and missingness,</w:t>
      </w:r>
    </w:p>
    <w:p>
      <w:r>
        <w:t>with durations of budget-censored runs identified rather than treated as fast</w:t>
      </w:r>
    </w:p>
    <w:p>
      <w:r>
        <w:t>completed successes. Report software purchase, agent/API and compute costs separately.</w:t>
      </w:r>
    </w:p>
    <w:p>
      <w:pPr>
        <w:pStyle w:val="Heading2"/>
      </w:pPr>
      <w:r>
        <w:t>Models and sensitivities</w:t>
      </w:r>
    </w:p>
    <w:p>
      <w:r>
        <w:t>Do not treat three runs as three independent papers. Descriptive estimates are</w:t>
      </w:r>
    </w:p>
    <w:p>
      <w:r>
        <w:t>primary. A paper-random-intercept logistic model is optional only if at least</w:t>
      </w:r>
    </w:p>
    <w:p>
      <w:r>
        <w:t>20 distinct papers with successes and 20 with failures support every candidate</w:t>
      </w:r>
    </w:p>
    <w:p>
      <w:r>
        <w:t>predictor degree of freedom, clustering is identifiable, and no separation or</w:t>
      </w:r>
    </w:p>
    <w:p>
      <w:r>
        <w:t>unstable fit is present. Freeze any reduced predictor set before outcome access;</w:t>
      </w:r>
    </w:p>
    <w:p>
      <w:r>
        <w:t>never screen predictors by observed p values. Given the planned size and seven</w:t>
      </w:r>
    </w:p>
    <w:p>
      <w:r>
        <w:t>fields, an adjusted multi-predictor model is likely unjustified and may be omitted.</w:t>
      </w:r>
    </w:p>
    <w:p>
      <w:r>
        <w:t>A code-sharing association is observational, not causal; original code stays hidden.</w:t>
      </w:r>
    </w:p>
    <w:p>
      <w:r>
        <w:t>Prespecified sensitivity descriptions: strict/majority/permissive; clean versus</w:t>
      </w:r>
    </w:p>
    <w:p>
      <w:r>
        <w:t>all-assigned accounting without reclassifying contaminated runs as valid;</w:t>
      </w:r>
    </w:p>
    <w:p>
      <w:r>
        <w:t>uncertain-target exclusion; lower/upper unknown bounds; field, software category</w:t>
      </w:r>
    </w:p>
    <w:p>
      <w:r>
        <w:t>and code-detection subgroups. Report sparsity; do not fish for interactions.</w:t>
      </w:r>
    </w:p>
    <w:p>
      <w:r>
        <w:t>No alternative models/defaults/implementations, perturbations, multiverse,</w:t>
      </w:r>
    </w:p>
    <w:p>
      <w:r>
        <w:t>robustness scores or Paper III experiments are permitted.</w:t>
      </w:r>
    </w:p>
    <w:p>
      <w:r>
        <w:br w:type="page"/>
      </w:r>
    </w:p>
    <w:p>
      <w:pPr>
        <w:pStyle w:val="Heading1"/>
      </w:pPr>
      <w:r>
        <w:t>Target selection</w:t>
      </w:r>
    </w:p>
    <w:p>
      <w:r>
        <w:t>DRAFT — NOT FROZEN</w:t>
      </w:r>
    </w:p>
    <w:p>
      <w:r>
        <w:t>Use, in order: primary numerical endpoint; principal effect; principal performance</w:t>
      </w:r>
    </w:p>
    <w:p>
      <w:r>
        <w:t>metric; central quantitative table; central quantitative figure; principal</w:t>
      </w:r>
    </w:p>
    <w:p>
      <w:r>
        <w:t>computational conclusion. Choose the paper's stated priority, then order of</w:t>
      </w:r>
    </w:p>
    <w:p>
      <w:r>
        <w:t>appearance for equally central candidates. Record alternatives considered and</w:t>
      </w:r>
    </w:p>
    <w:p>
      <w:r>
        <w:t>rejection reasons. A convenient or easy endpoint is never a replacement after</w:t>
      </w:r>
    </w:p>
    <w:p>
      <w:r>
        <w:t>seeing reconstruction output.</w:t>
      </w:r>
    </w:p>
    <w:p>
      <w:r>
        <w:t>Require a computational, central and objectively assessable output, its exact</w:t>
      </w:r>
    </w:p>
    <w:p>
      <w:r>
        <w:t>publication/supplement location, reporting precision, input identity, estimand</w:t>
      </w:r>
    </w:p>
    <w:p>
      <w:r>
        <w:t>and prospective comparison rule. Record the minimal target-linked claim separately.</w:t>
      </w:r>
    </w:p>
    <w:p>
      <w:r>
        <w:t>If a conclusion has no defensible numerical operationalization, G2 is uncertain</w:t>
      </w:r>
    </w:p>
    <w:p>
      <w:r>
        <w:t>or no; do not silently replace the primary endpoint with a subjective judgement.</w:t>
      </w:r>
    </w:p>
    <w:p>
      <w:r>
        <w:t>The manifest records target_id, paper_id, source_id, page/table/figure/cell,</w:t>
      </w:r>
    </w:p>
    <w:p>
      <w:r>
        <w:t>quoted claim, numerical value, units, metric, evaluation population/split,</w:t>
      </w:r>
    </w:p>
    <w:p>
      <w:r>
        <w:t>selection rationale, tolerance, timestamp and selector. Targets and packages</w:t>
      </w:r>
    </w:p>
    <w:p>
      <w:r>
        <w:t>must be hashed and sealed before any reconstruction run. The evaluator's</w:t>
      </w:r>
    </w:p>
    <w:p>
      <w:r>
        <w:t>score specification is fixed; no author implementation is used to choose a target.</w:t>
      </w:r>
    </w:p>
    <w:p>
      <w:r>
        <w:t>Same target and material are delivered to every slot. Do not reveal another</w:t>
      </w:r>
    </w:p>
    <w:p>
      <w:r>
        <w:t>agent's interpretation or an author's implementation in a clarification.</w:t>
      </w:r>
    </w:p>
    <w:p>
      <w:r>
        <w:br w:type="page"/>
      </w:r>
    </w:p>
    <w:p>
      <w:pPr>
        <w:pStyle w:val="Heading1"/>
      </w:pPr>
      <w:r>
        <w:t>Target-specific agreement</w:t>
      </w:r>
    </w:p>
    <w:p>
      <w:r>
        <w:t>DRAFT — NOT FROZEN; generic scalar comparison is implemented, other scorers pending.</w:t>
      </w:r>
    </w:p>
    <w:p>
      <w:r>
        <w:t>No universal percentage tolerance. Store both target and observed values,</w:t>
      </w:r>
    </w:p>
    <w:p>
      <w:r>
        <w:t>units, absolute error and meaningful relative error; relative error near zero</w:t>
      </w:r>
    </w:p>
    <w:p>
      <w:r>
        <w:t>is not informative. Review reporting precision rather than demanding hidden digits.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040"/>
        <w:gridCol w:w="5040"/>
      </w:tblGrid>
      <w:tr>
        <w:tc>
          <w:tcPr>
            <w:tcW w:type="dxa" w:w="5040"/>
          </w:tcPr>
          <w:p>
            <w:pPr>
              <w:keepNext/>
            </w:pPr>
            <w:r>
              <w:rPr>
                <w:sz w:val="18"/>
              </w:rPr>
              <w:t>Target</w:t>
            </w:r>
          </w:p>
        </w:tc>
        <w:tc>
          <w:tcPr>
            <w:tcW w:type="dxa" w:w="5040"/>
          </w:tcPr>
          <w:p>
            <w:pPr>
              <w:keepNext/>
            </w:pPr>
            <w:r>
              <w:rPr>
                <w:sz w:val="18"/>
              </w:rPr>
              <w:t>Prospective rule</w:t>
            </w:r>
          </w:p>
        </w:tc>
      </w:tr>
      <w:tr>
        <w:tc>
          <w:tcPr>
            <w:tcW w:type="dxa" w:w="5040"/>
          </w:tcPr>
          <w:p>
            <w:pPr>
              <w:keepNext/>
            </w:pPr>
            <w:r>
              <w:rPr>
                <w:sz w:val="18"/>
              </w:rPr>
              <w:t>Counts</w:t>
            </w:r>
          </w:p>
        </w:tc>
        <w:tc>
          <w:tcPr>
            <w:tcW w:type="dxa" w:w="5040"/>
          </w:tcPr>
          <w:p>
            <w:pPr>
              <w:keepNext/>
            </w:pPr>
            <w:r>
              <w:rPr>
                <w:sz w:val="18"/>
              </w:rPr>
              <w:t>Exact, unless publication explicitly defines stochastic/approximate counts.</w:t>
            </w:r>
          </w:p>
        </w:tc>
      </w:tr>
      <w:tr>
        <w:tc>
          <w:tcPr>
            <w:tcW w:type="dxa" w:w="5040"/>
          </w:tcPr>
          <w:p>
            <w:pPr>
              <w:keepNext/>
            </w:pPr>
            <w:r>
              <w:rPr>
                <w:sz w:val="18"/>
              </w:rPr>
              <w:t>Deterministic scalar/effect</w:t>
            </w:r>
          </w:p>
        </w:tc>
        <w:tc>
          <w:tcPr>
            <w:tcW w:type="dxa" w:w="5040"/>
          </w:tcPr>
          <w:p>
            <w:pPr>
              <w:keepNext/>
            </w:pPr>
            <w:r>
              <w:rPr>
                <w:sz w:val="18"/>
              </w:rPr>
              <w:t>Agreement within the displayed rounding bin. Default nearest rounding uses [v−0.5*10^-d, v+0.5*10^-d); if truncation or another convention is explicit, use it. Declare ambiguous boundary cases prospectively.</w:t>
            </w:r>
          </w:p>
        </w:tc>
      </w:tr>
      <w:tr>
        <w:tc>
          <w:tcPr>
            <w:tcW w:type="dxa" w:w="5040"/>
          </w:tcPr>
          <w:p>
            <w:pPr>
              <w:keepNext/>
            </w:pPr>
            <w:r>
              <w:rPr>
                <w:sz w:val="18"/>
              </w:rPr>
              <w:t>Interval</w:t>
            </w:r>
          </w:p>
        </w:tc>
        <w:tc>
          <w:tcPr>
            <w:tcW w:type="dxa" w:w="5040"/>
          </w:tcPr>
          <w:p>
            <w:pPr>
              <w:keepNext/>
            </w:pPr>
            <w:r>
              <w:rPr>
                <w:sz w:val="18"/>
              </w:rPr>
              <w:t>Point estimate, lower bound and upper bound separately; all required components meet their individual precision rules. Inferential interpretation remains separate.</w:t>
            </w:r>
          </w:p>
        </w:tc>
      </w:tr>
      <w:tr>
        <w:tc>
          <w:tcPr>
            <w:tcW w:type="dxa" w:w="5040"/>
          </w:tcPr>
          <w:p>
            <w:pPr>
              <w:keepNext/>
            </w:pPr>
            <w:r>
              <w:rPr>
                <w:sz w:val="18"/>
              </w:rPr>
              <w:t>P value</w:t>
            </w:r>
          </w:p>
        </w:tc>
        <w:tc>
          <w:tcPr>
            <w:tcW w:type="dxa" w:w="5040"/>
          </w:tcPr>
          <w:p>
            <w:pPr>
              <w:keepNext/>
            </w:pPr>
            <w:r>
              <w:rPr>
                <w:sz w:val="18"/>
              </w:rPr>
              <w:t>Preserve exact reported precision or reported inequality. Significance category alone does not meet an exact-value target.</w:t>
            </w:r>
          </w:p>
        </w:tc>
      </w:tr>
      <w:tr>
        <w:tc>
          <w:tcPr>
            <w:tcW w:type="dxa" w:w="5040"/>
          </w:tcPr>
          <w:p>
            <w:pPr>
              <w:keepNext/>
            </w:pPr>
            <w:r>
              <w:rPr>
                <w:sz w:val="18"/>
              </w:rPr>
              <w:t>Proportion</w:t>
            </w:r>
          </w:p>
        </w:tc>
        <w:tc>
          <w:tcPr>
            <w:tcW w:type="dxa" w:w="5040"/>
          </w:tcPr>
          <w:p>
            <w:pPr>
              <w:keepNext/>
            </w:pPr>
            <w:r>
              <w:rPr>
                <w:sz w:val="18"/>
              </w:rPr>
              <w:t>Numerator and denominator when reported; otherwise displayed precision and units.</w:t>
            </w:r>
          </w:p>
        </w:tc>
      </w:tr>
      <w:tr>
        <w:tc>
          <w:tcPr>
            <w:tcW w:type="dxa" w:w="5040"/>
          </w:tcPr>
          <w:p>
            <w:pPr>
              <w:keepNext/>
            </w:pPr>
            <w:r>
              <w:rPr>
                <w:sz w:val="18"/>
              </w:rPr>
              <w:t>Prediction/performance</w:t>
            </w:r>
          </w:p>
        </w:tc>
        <w:tc>
          <w:tcPr>
            <w:tcW w:type="dxa" w:w="5040"/>
          </w:tcPr>
          <w:p>
            <w:pPr>
              <w:keepNext/>
            </w:pPr>
            <w:r>
              <w:rPr>
                <w:sz w:val="18"/>
              </w:rPr>
              <w:t>Identical prespecified metric, evaluation population and split. Unknown split identity is not cured by a similar score on different data.</w:t>
            </w:r>
          </w:p>
        </w:tc>
      </w:tr>
      <w:tr>
        <w:tc>
          <w:tcPr>
            <w:tcW w:type="dxa" w:w="5040"/>
          </w:tcPr>
          <w:p>
            <w:pPr>
              <w:keepNext/>
            </w:pPr>
            <w:r>
              <w:rPr>
                <w:sz w:val="18"/>
              </w:rPr>
              <w:t>Table</w:t>
            </w:r>
          </w:p>
        </w:tc>
        <w:tc>
          <w:tcPr>
            <w:tcW w:type="dxa" w:w="5040"/>
          </w:tcPr>
          <w:p>
            <w:pPr>
              <w:keepNext/>
            </w:pPr>
            <w:r>
              <w:rPr>
                <w:sz w:val="18"/>
              </w:rPr>
              <w:t>Prospectively identified central cells; all must meet their cell rules. Retain element errors.</w:t>
            </w:r>
          </w:p>
        </w:tc>
      </w:tr>
      <w:tr>
        <w:tc>
          <w:tcPr>
            <w:tcW w:type="dxa" w:w="5040"/>
          </w:tcPr>
          <w:p>
            <w:pPr>
              <w:keepNext/>
            </w:pPr>
            <w:r>
              <w:rPr>
                <w:sz w:val="18"/>
              </w:rPr>
              <w:t>Figure</w:t>
            </w:r>
          </w:p>
        </w:tc>
        <w:tc>
          <w:tcPr>
            <w:tcW w:type="dxa" w:w="5040"/>
          </w:tcPr>
          <w:p>
            <w:pPr>
              <w:keepNext/>
            </w:pPr>
            <w:r>
              <w:rPr>
                <w:sz w:val="18"/>
              </w:rPr>
              <w:t>Prefer underlying values. If extraction is unavoidable, freeze coordinates, extraction uncertainty and comparison before the run; no default pixel similarity.</w:t>
            </w:r>
          </w:p>
        </w:tc>
      </w:tr>
      <w:tr>
        <w:tc>
          <w:tcPr>
            <w:tcW w:type="dxa" w:w="5040"/>
          </w:tcPr>
          <w:p>
            <w:pPr>
              <w:keepNext/>
            </w:pPr>
            <w:r>
              <w:rPr>
                <w:sz w:val="18"/>
              </w:rPr>
              <w:t>Stochastic estimand</w:t>
            </w:r>
          </w:p>
        </w:tc>
        <w:tc>
          <w:tcPr>
            <w:tcW w:type="dxa" w:w="5040"/>
          </w:tcPr>
          <w:p>
            <w:pPr>
              <w:keepNext/>
            </w:pPr>
            <w:r>
              <w:rPr>
                <w:sz w:val="18"/>
              </w:rPr>
              <w:t>Compare the reported estimand/distributional summary under a prespecified criterion. Pilot fixes simulation count and error control within the resource ceiling. No optional rerunning until agreement.</w:t>
            </w:r>
          </w:p>
        </w:tc>
      </w:tr>
      <w:tr>
        <w:tc>
          <w:tcPr>
            <w:tcW w:type="dxa" w:w="5040"/>
          </w:tcPr>
          <w:p>
            <w:pPr>
              <w:keepNext w:val="0"/>
            </w:pPr>
            <w:r>
              <w:rPr>
                <w:sz w:val="18"/>
              </w:rPr>
              <w:t>Optimization</w:t>
            </w:r>
          </w:p>
        </w:tc>
        <w:tc>
          <w:tcPr>
            <w:tcW w:type="dxa" w:w="5040"/>
          </w:tcPr>
          <w:p>
            <w:pPr>
              <w:keepNext w:val="0"/>
            </w:pPr>
            <w:r>
              <w:rPr>
                <w:sz w:val="18"/>
              </w:rPr>
              <w:t>Objective value and constraints first. Exact decision variables only for a unique solution; equivalent optima are not failures.</w:t>
            </w:r>
          </w:p>
        </w:tc>
      </w:tr>
    </w:tbl>
    <w:p>
      <w:r>
        <w:t>At pilot, reject an unscoreable target and proceed down the hierarchy before</w:t>
      </w:r>
    </w:p>
    <w:p>
      <w:r>
        <w:t>main runs; log the reason. No stochastic, figure or non-scalar target may be</w:t>
      </w:r>
    </w:p>
    <w:p>
      <w:r>
        <w:t>launched with an unresolved comparison rule. Numerical agreement does not itself</w:t>
      </w:r>
    </w:p>
    <w:p>
      <w:r>
        <w:t>prove faithful algorithm implementation. Review fidelity using the published</w:t>
      </w:r>
    </w:p>
    <w:p>
      <w:r>
        <w:t>method without introducing alternative analyses.</w:t>
      </w:r>
    </w:p>
    <w:sectPr w:rsidR="00FC693F" w:rsidRPr="0006063C" w:rsidSect="00034616">
      <w:footerReference w:type="default" r:id="rId9"/>
      <w:pgSz w:w="12240" w:h="15840"/>
      <w:pgMar w:top="1008" w:right="1080" w:bottom="1008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>
      <w:rPr>
        <w:color w:val="9A3412"/>
        <w:sz w:val="16"/>
      </w:rPr>
      <w:t>PREPARATION DRAFT — NOT SUBMISSION READY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/>
    </w:pPr>
    <w:rPr>
      <w:rFonts w:ascii="Calibri" w:hAnsi="Calibri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>PREPARATION DRAFT — NOT SUBMISSION READY</dc:subject>
  <dc:creator>Paper II preparation; authorship not finalized</dc:creator>
  <cp:keywords/>
  <dc:description>generated by python-docx</dc:description>
  <cp:lastModifiedBy/>
  <cp:revision>1</cp:revision>
  <dcterms:created xsi:type="dcterms:W3CDTF">1980-01-01T00:00:00Z</dcterms:created>
  <dcterms:modified xsi:type="dcterms:W3CDTF">1980-01-01T00:00:00Z</dcterms:modified>
  <cp:category/>
</cp:coreProperties>
</file>